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6DA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南宁市武鸣区中医医院信息化建设咨询设计项目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建设方案及投资预算评审服务采购需求</w:t>
      </w:r>
      <w:bookmarkStart w:id="0" w:name="_GoBack"/>
      <w:bookmarkEnd w:id="0"/>
    </w:p>
    <w:p w14:paraId="234247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E342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一、项目概述</w:t>
      </w:r>
    </w:p>
    <w:p w14:paraId="4DD950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确保我院信息化建设咨询设计项目设计成果的完整性、科学性、合规性和投资合理性，防止需求描述失准、技术方案偏离、投资估算虚高或漏项，拟采购第三方评审服务，对咨询设计单位编制的项目建设方案及投资预算开展独立评审。</w:t>
      </w:r>
    </w:p>
    <w:p w14:paraId="2B0C2F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服务期限：自采购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人书面通知评审启动之日起30日历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内完成全部评审工作并提交评审报告，至迟不超过合同签订之日起90日历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。承担本项目设计成果编制工作的单位及其关联方不得参与本次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采购。</w:t>
      </w:r>
    </w:p>
    <w:p w14:paraId="28AF45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本次采购的核心目的：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取得独立第三方评审意见及评审报告，作为医院内部决策、项目立项申报和财政评审送审的重要依据，确保设计成果可用于后续采购实施。</w:t>
      </w:r>
    </w:p>
    <w:p w14:paraId="4FAF1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二、项目要求</w:t>
      </w:r>
    </w:p>
    <w:p w14:paraId="22FE9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（一）采购内容</w:t>
      </w:r>
    </w:p>
    <w:p w14:paraId="422989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2"/>
        <w:gridCol w:w="2387"/>
      </w:tblGrid>
      <w:tr w14:paraId="08E3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582" w:type="dxa"/>
          </w:tcPr>
          <w:p w14:paraId="358CC8B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采购项目名称</w:t>
            </w:r>
          </w:p>
        </w:tc>
        <w:tc>
          <w:tcPr>
            <w:tcW w:w="2387" w:type="dxa"/>
          </w:tcPr>
          <w:p w14:paraId="14A67E0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</w:t>
            </w:r>
          </w:p>
        </w:tc>
      </w:tr>
      <w:tr w14:paraId="4A56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582" w:type="dxa"/>
          </w:tcPr>
          <w:p w14:paraId="756CD81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项目建设方案及投资预算评审服务</w:t>
            </w:r>
          </w:p>
        </w:tc>
        <w:tc>
          <w:tcPr>
            <w:tcW w:w="2387" w:type="dxa"/>
          </w:tcPr>
          <w:p w14:paraId="1C2F391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1项</w:t>
            </w:r>
          </w:p>
        </w:tc>
      </w:tr>
    </w:tbl>
    <w:p w14:paraId="38BBB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70E0B6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二）服务内容及要求</w:t>
      </w:r>
    </w:p>
    <w:p w14:paraId="4B62D9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（1）评审对象与评审重点</w:t>
      </w:r>
    </w:p>
    <w:tbl>
      <w:tblPr>
        <w:tblStyle w:val="33"/>
        <w:tblW w:w="10550" w:type="dxa"/>
        <w:tblInd w:w="-6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8095"/>
      </w:tblGrid>
      <w:tr w14:paraId="2FDD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455" w:type="dxa"/>
          </w:tcPr>
          <w:p w14:paraId="7DA2D4B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评审对象</w:t>
            </w:r>
          </w:p>
        </w:tc>
        <w:tc>
          <w:tcPr>
            <w:tcW w:w="8095" w:type="dxa"/>
          </w:tcPr>
          <w:p w14:paraId="38D1C4E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主要评审重点</w:t>
            </w:r>
          </w:p>
        </w:tc>
      </w:tr>
      <w:tr w14:paraId="5F2FB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5" w:type="dxa"/>
            <w:vAlign w:val="center"/>
          </w:tcPr>
          <w:p w14:paraId="7507107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项目建设方案</w:t>
            </w:r>
          </w:p>
        </w:tc>
        <w:tc>
          <w:tcPr>
            <w:tcW w:w="8095" w:type="dxa"/>
          </w:tcPr>
          <w:p w14:paraId="5545B88A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总体架构与应用架构的完整性，与医院实际需求及信息化建设目标的匹配性。</w:t>
            </w:r>
          </w:p>
          <w:p w14:paraId="4AA63CB7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系统功能清单与配置参数的合理性、非倾向性，是否存在指向特定品牌或供应商的排他性条款。</w:t>
            </w:r>
          </w:p>
          <w:p w14:paraId="5AF7443D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集成接口与数据标准符合性，是否满足互联互通标准化成熟度及与院内现有HIS、电子病历等系统对接要求。</w:t>
            </w:r>
          </w:p>
          <w:p w14:paraId="70FEA68C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信息安全方案合规性，是否满足网络安全等级保护三级及医疗健康数据安全相关要求。</w:t>
            </w:r>
          </w:p>
          <w:p w14:paraId="5165D6C1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实施计划与运维方案的可落地性。</w:t>
            </w:r>
          </w:p>
        </w:tc>
      </w:tr>
      <w:tr w14:paraId="7E883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5" w:type="dxa"/>
            <w:vAlign w:val="center"/>
          </w:tcPr>
          <w:p w14:paraId="5043855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投资预算</w:t>
            </w:r>
          </w:p>
        </w:tc>
        <w:tc>
          <w:tcPr>
            <w:tcW w:w="8095" w:type="dxa"/>
          </w:tcPr>
          <w:p w14:paraId="24DCD967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取费依据的适用性和费率取值的正确性。</w:t>
            </w:r>
          </w:p>
          <w:p w14:paraId="0C5DBE99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工程量、设备清单与设计方案的对应性，计算过程可追溯。</w:t>
            </w:r>
          </w:p>
          <w:p w14:paraId="7F5A63BC">
            <w:pPr>
              <w:numPr>
                <w:ilvl w:val="0"/>
                <w:numId w:val="0"/>
              </w:num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有无高估冒算或漏项，与同类项目造价水平对比是否合理。</w:t>
            </w:r>
          </w:p>
        </w:tc>
      </w:tr>
    </w:tbl>
    <w:p w14:paraId="348972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（2）服务方式：组织专家评审会</w:t>
      </w:r>
    </w:p>
    <w:p w14:paraId="3CF16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1</w:t>
      </w:r>
      <w:r>
        <w:rPr>
          <w:rFonts w:hint="eastAsia" w:ascii="仿宋_GB2312" w:hAnsi="仿宋_GB2312" w:cs="仿宋_GB2312"/>
          <w:b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供应商作为评审组织单位，负责一场评审会的全流程组织与实施。</w:t>
      </w:r>
    </w:p>
    <w:p w14:paraId="26CD0E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评审专家组人数不少于5人（单数），由供应商提出专家建议名单（含姓名、职称、专业、相关证书及从业经历）报采购人确认后邀请。专家应覆盖以下四个专业方向：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6"/>
        <w:gridCol w:w="1250"/>
        <w:gridCol w:w="4900"/>
        <w:gridCol w:w="937"/>
      </w:tblGrid>
      <w:tr w14:paraId="0A83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2646" w:type="dxa"/>
            <w:vAlign w:val="center"/>
          </w:tcPr>
          <w:p w14:paraId="709D92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专业方向</w:t>
            </w:r>
          </w:p>
        </w:tc>
        <w:tc>
          <w:tcPr>
            <w:tcW w:w="1250" w:type="dxa"/>
            <w:vAlign w:val="center"/>
          </w:tcPr>
          <w:p w14:paraId="63BC37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人数</w:t>
            </w:r>
          </w:p>
        </w:tc>
        <w:tc>
          <w:tcPr>
            <w:tcW w:w="4900" w:type="dxa"/>
            <w:vAlign w:val="center"/>
          </w:tcPr>
          <w:p w14:paraId="61A85E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专家条件（具备下列条件之一）</w:t>
            </w:r>
          </w:p>
        </w:tc>
        <w:tc>
          <w:tcPr>
            <w:tcW w:w="937" w:type="dxa"/>
            <w:vAlign w:val="center"/>
          </w:tcPr>
          <w:p w14:paraId="4294C9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  <w:tr w14:paraId="10C96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2646" w:type="dxa"/>
            <w:vAlign w:val="center"/>
          </w:tcPr>
          <w:p w14:paraId="7282720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医院信息化／医疗信息化</w:t>
            </w:r>
          </w:p>
        </w:tc>
        <w:tc>
          <w:tcPr>
            <w:tcW w:w="1250" w:type="dxa"/>
          </w:tcPr>
          <w:p w14:paraId="5BCE30B9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不少于2人</w:t>
            </w:r>
          </w:p>
        </w:tc>
        <w:tc>
          <w:tcPr>
            <w:tcW w:w="4900" w:type="dxa"/>
          </w:tcPr>
          <w:p w14:paraId="027C2F73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熟悉医院核心业务系统与互联互通标准化建设，具有医院信息化项目评审经验</w:t>
            </w:r>
          </w:p>
        </w:tc>
        <w:tc>
          <w:tcPr>
            <w:tcW w:w="937" w:type="dxa"/>
          </w:tcPr>
          <w:p w14:paraId="4884E41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A43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2646" w:type="dxa"/>
            <w:vAlign w:val="center"/>
          </w:tcPr>
          <w:p w14:paraId="4C3EC0E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软件工程／系统架构</w:t>
            </w:r>
          </w:p>
        </w:tc>
        <w:tc>
          <w:tcPr>
            <w:tcW w:w="1250" w:type="dxa"/>
          </w:tcPr>
          <w:p w14:paraId="0626E04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不少于1人</w:t>
            </w:r>
          </w:p>
        </w:tc>
        <w:tc>
          <w:tcPr>
            <w:tcW w:w="4900" w:type="dxa"/>
          </w:tcPr>
          <w:p w14:paraId="14F0746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具备大型信息系统架构设计与方案论证能力</w:t>
            </w:r>
          </w:p>
        </w:tc>
        <w:tc>
          <w:tcPr>
            <w:tcW w:w="937" w:type="dxa"/>
          </w:tcPr>
          <w:p w14:paraId="6BB171B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9C1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2646" w:type="dxa"/>
            <w:vAlign w:val="center"/>
          </w:tcPr>
          <w:p w14:paraId="7B0A98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网络安全</w:t>
            </w:r>
          </w:p>
        </w:tc>
        <w:tc>
          <w:tcPr>
            <w:tcW w:w="1250" w:type="dxa"/>
          </w:tcPr>
          <w:p w14:paraId="1D2ACE9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不少于1人</w:t>
            </w:r>
          </w:p>
        </w:tc>
        <w:tc>
          <w:tcPr>
            <w:tcW w:w="4900" w:type="dxa"/>
          </w:tcPr>
          <w:p w14:paraId="0205D282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熟悉网络安全等级保护及医疗健康数据安全相关要求</w:t>
            </w:r>
          </w:p>
        </w:tc>
        <w:tc>
          <w:tcPr>
            <w:tcW w:w="937" w:type="dxa"/>
          </w:tcPr>
          <w:p w14:paraId="3B7D279A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BF5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6" w:type="dxa"/>
            <w:vAlign w:val="center"/>
          </w:tcPr>
          <w:p w14:paraId="5576CF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工程造价／投资经济</w:t>
            </w:r>
          </w:p>
        </w:tc>
        <w:tc>
          <w:tcPr>
            <w:tcW w:w="1250" w:type="dxa"/>
          </w:tcPr>
          <w:p w14:paraId="171F29B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不少于1人</w:t>
            </w:r>
          </w:p>
        </w:tc>
        <w:tc>
          <w:tcPr>
            <w:tcW w:w="4900" w:type="dxa"/>
          </w:tcPr>
          <w:p w14:paraId="21044BFC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具备造价或投资概算审核能力，熟悉现行计价规范与费用标准</w:t>
            </w:r>
          </w:p>
        </w:tc>
        <w:tc>
          <w:tcPr>
            <w:tcW w:w="937" w:type="dxa"/>
          </w:tcPr>
          <w:p w14:paraId="6B5578A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5311DCB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3、供应商承担专家邀请、会议组织、场地协调（如需）、评审资料准备与分发、会议记录、意见汇总等全部事务性工作。</w:t>
      </w:r>
    </w:p>
    <w:p w14:paraId="08DC05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4、评审会原则上采取现场会议方式；确因客观原因需采取线上方式的，应经采购人书面同意。</w:t>
      </w:r>
    </w:p>
    <w:p w14:paraId="0C6591B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5、专家评审费、差旅费及会议相关费用均包含在报价内，采购人不再另行支付。</w:t>
      </w:r>
    </w:p>
    <w:p w14:paraId="1AF3D34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（3）服务流程及成果要求</w:t>
      </w:r>
    </w:p>
    <w:tbl>
      <w:tblPr>
        <w:tblStyle w:val="33"/>
        <w:tblW w:w="103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730"/>
        <w:gridCol w:w="7394"/>
      </w:tblGrid>
      <w:tr w14:paraId="79176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228" w:type="dxa"/>
            <w:vAlign w:val="center"/>
          </w:tcPr>
          <w:p w14:paraId="7E68515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730" w:type="dxa"/>
            <w:vAlign w:val="center"/>
          </w:tcPr>
          <w:p w14:paraId="423BC80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服务环节</w:t>
            </w:r>
          </w:p>
        </w:tc>
        <w:tc>
          <w:tcPr>
            <w:tcW w:w="7394" w:type="dxa"/>
            <w:vAlign w:val="center"/>
          </w:tcPr>
          <w:p w14:paraId="515FAB2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内容及要求</w:t>
            </w:r>
          </w:p>
        </w:tc>
      </w:tr>
      <w:tr w14:paraId="4FB70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8" w:type="dxa"/>
            <w:vAlign w:val="center"/>
          </w:tcPr>
          <w:p w14:paraId="1B7934C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730" w:type="dxa"/>
            <w:vAlign w:val="center"/>
          </w:tcPr>
          <w:p w14:paraId="444E512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评审前准备</w:t>
            </w:r>
          </w:p>
        </w:tc>
        <w:tc>
          <w:tcPr>
            <w:tcW w:w="7394" w:type="dxa"/>
          </w:tcPr>
          <w:p w14:paraId="24315195">
            <w:p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接收设计成果材料，进行形式审查与完整性核查，对材料缺漏的督促补充完善；编制评审工作方案与评审要点。</w:t>
            </w:r>
          </w:p>
        </w:tc>
      </w:tr>
      <w:tr w14:paraId="7CD2C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8" w:type="dxa"/>
            <w:vAlign w:val="center"/>
          </w:tcPr>
          <w:p w14:paraId="1573ADB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730" w:type="dxa"/>
            <w:vAlign w:val="center"/>
          </w:tcPr>
          <w:p w14:paraId="769D624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会前预审</w:t>
            </w:r>
          </w:p>
        </w:tc>
        <w:tc>
          <w:tcPr>
            <w:tcW w:w="7394" w:type="dxa"/>
          </w:tcPr>
          <w:p w14:paraId="000877AF">
            <w:p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组织专家开展会前书面预审，形成预审意见，明确会上需重点讨论的问题清单。</w:t>
            </w:r>
          </w:p>
        </w:tc>
      </w:tr>
      <w:tr w14:paraId="6F52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8" w:type="dxa"/>
            <w:vAlign w:val="center"/>
          </w:tcPr>
          <w:p w14:paraId="3FDC2FF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730" w:type="dxa"/>
            <w:vAlign w:val="center"/>
          </w:tcPr>
          <w:p w14:paraId="464096D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组织评审会</w:t>
            </w:r>
          </w:p>
        </w:tc>
        <w:tc>
          <w:tcPr>
            <w:tcW w:w="7394" w:type="dxa"/>
          </w:tcPr>
          <w:p w14:paraId="3DA6486A">
            <w:p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主持评审会，组织编制单位答疑，形成专家组评审意见；评审结论应明确为“通过”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“修改后通过”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或“不通过”。</w:t>
            </w:r>
          </w:p>
        </w:tc>
      </w:tr>
      <w:tr w14:paraId="010B9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8" w:type="dxa"/>
            <w:vAlign w:val="center"/>
          </w:tcPr>
          <w:p w14:paraId="609C4F7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30" w:type="dxa"/>
            <w:vAlign w:val="center"/>
          </w:tcPr>
          <w:p w14:paraId="70C94F4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出具评审报告</w:t>
            </w:r>
          </w:p>
        </w:tc>
        <w:tc>
          <w:tcPr>
            <w:tcW w:w="7394" w:type="dxa"/>
          </w:tcPr>
          <w:p w14:paraId="3D8EA656">
            <w:p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会后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5个工作日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内提交正式评审报告，内容包含评审依据、评审过程、专家意见、问题清单、修改建议及评审结论。</w:t>
            </w:r>
          </w:p>
        </w:tc>
      </w:tr>
      <w:tr w14:paraId="4CA8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8" w:type="dxa"/>
            <w:vAlign w:val="center"/>
          </w:tcPr>
          <w:p w14:paraId="77C8C22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730" w:type="dxa"/>
            <w:vAlign w:val="center"/>
          </w:tcPr>
          <w:p w14:paraId="5FF6B2F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修改稿复核</w:t>
            </w:r>
          </w:p>
        </w:tc>
        <w:tc>
          <w:tcPr>
            <w:tcW w:w="7394" w:type="dxa"/>
          </w:tcPr>
          <w:p w14:paraId="32D115B5">
            <w:pPr>
              <w:spacing w:after="0" w:line="24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对编制单位根据评审意见修改后的成果进行复核，确认问题是否逐条落实，出具修改落实情况复核意见。</w:t>
            </w:r>
          </w:p>
        </w:tc>
      </w:tr>
    </w:tbl>
    <w:p w14:paraId="448655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4）成果交付物：①《专家评审意见》（经全体专家签字确认）；②《项目建设方案及投资预算评审报告》（正式文本，含电子可编辑版）；③《修改落实情况复核意见》；④《专家签到表》《会议记录》及其他过程材料。</w:t>
      </w:r>
    </w:p>
    <w:p w14:paraId="6026A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其他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要求</w:t>
      </w:r>
    </w:p>
    <w:p w14:paraId="435F3E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服务费用：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报价为一次性报价，包含评审组织、专家费用、差旅、会务、资料编制及税费等全部费用。</w:t>
      </w:r>
    </w:p>
    <w:p w14:paraId="16A8A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其他要求：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供应商应配合采购人完成立项申报、财政评审送审等环节的技术答疑与资料补充。</w:t>
      </w:r>
    </w:p>
    <w:p w14:paraId="1E96D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四、对接扩展要求</w:t>
      </w:r>
    </w:p>
    <w:p w14:paraId="1BB116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次采购为评审咨询服务，不涉及信息化建设施工或系统集成。供应商出具的评审报告及复核意见应满足医院后续项目立项申报、财政评审送审及采购实施的工作需要，报告格式与深度应符合上级主管部门对项目评审成果的要求。</w:t>
      </w:r>
    </w:p>
    <w:sectPr>
      <w:pgSz w:w="12240" w:h="15840"/>
      <w:pgMar w:top="1247" w:right="1134" w:bottom="147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135D47"/>
    <w:rsid w:val="1F6B17E9"/>
    <w:rsid w:val="214344D1"/>
    <w:rsid w:val="298A2E8F"/>
    <w:rsid w:val="392055FE"/>
    <w:rsid w:val="4CFA4C37"/>
    <w:rsid w:val="511E0210"/>
    <w:rsid w:val="54B30652"/>
    <w:rsid w:val="56AD711B"/>
    <w:rsid w:val="5CE15C49"/>
    <w:rsid w:val="666146E0"/>
    <w:rsid w:val="68C1304E"/>
    <w:rsid w:val="70B16683"/>
    <w:rsid w:val="71103648"/>
    <w:rsid w:val="7B9C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1660</Words>
  <Characters>1676</Characters>
  <Lines>0</Lines>
  <Paragraphs>0</Paragraphs>
  <TotalTime>46</TotalTime>
  <ScaleCrop>false</ScaleCrop>
  <LinksUpToDate>false</LinksUpToDate>
  <CharactersWithSpaces>1676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hyy</cp:lastModifiedBy>
  <dcterms:modified xsi:type="dcterms:W3CDTF">2026-10-15T09:55:54Z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D3774F1BE9BA4BDAA0659A62B2F5F405_13</vt:lpwstr>
  </property>
  <property fmtid="{D5CDD505-2E9C-101B-9397-08002B2CF9AE}" pid="4" name="KSOTemplateDocerSaveRecord">
    <vt:lpwstr>eyJoZGlkIjoiN2JiYWIyNThjMjJmOGRmZmI3NGU3NWQyMDBjZjIzNTQiLCJ1c2VySWQiOiI2NDA0OTgwOTkifQ==</vt:lpwstr>
  </property>
</Properties>
</file>