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2E8A0">
      <w:pPr>
        <w:spacing w:line="500" w:lineRule="exact"/>
        <w:jc w:val="center"/>
        <w:rPr>
          <w:rFonts w:hint="eastAsia" w:ascii="宋体" w:hAnsi="宋体"/>
          <w:color w:val="auto"/>
          <w:sz w:val="24"/>
        </w:rPr>
      </w:pP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货物需求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val="en-US" w:eastAsia="zh-CN"/>
        </w:rPr>
        <w:t>响应</w:t>
      </w: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表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人体成分分析仪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eastAsia="zh-CN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3180"/>
        <w:gridCol w:w="3321"/>
        <w:gridCol w:w="795"/>
      </w:tblGrid>
      <w:tr w14:paraId="54B8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C09E"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序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号</w:t>
            </w:r>
          </w:p>
        </w:tc>
        <w:tc>
          <w:tcPr>
            <w:tcW w:w="3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178D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采购需求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33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EF1A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响应参数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BD02">
            <w:pPr>
              <w:jc w:val="center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C7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6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bookmarkStart w:id="0" w:name="_GoBack" w:colFirst="0" w:colLast="0"/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3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2540F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/>
              <w:jc w:val="both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工作原理：</w:t>
            </w:r>
            <w:r>
              <w:rPr>
                <w:rFonts w:hint="eastAsia" w:ascii="宋体" w:hAnsi="宋体"/>
                <w:sz w:val="18"/>
                <w:szCs w:val="18"/>
              </w:rPr>
              <w:t>多频率生物电阻抗测量法（BIA法）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33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4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709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</w:tr>
      <w:tr w14:paraId="618B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DB9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0AB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输出指标：总水分、蛋白质、无机盐、体脂肪量、体重、肌肉量、去脂体重、骨骼肌肉量、身体质量指数、体脂肪率、腰臀比、内脏脂肪阶段、体重控制、体型判定、营养评估、肌肉评估及结果打分等。</w:t>
            </w:r>
          </w:p>
        </w:tc>
        <w:tc>
          <w:tcPr>
            <w:tcW w:w="33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976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6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</w:tr>
      <w:tr w14:paraId="2C32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BF0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7165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/>
              <w:jc w:val="both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肌肉评估：对上下肢分别进行肌肉平衡和不平衡评估；对上下肢分别进行肌肉不足、正常和发达评估。</w:t>
            </w:r>
          </w:p>
        </w:tc>
        <w:tc>
          <w:tcPr>
            <w:tcW w:w="33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88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625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tr w14:paraId="19F81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47D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9AA4B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/>
              <w:jc w:val="both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肥胖分析：采用体脂肪量、体脂肪率、腰臀比、内脏脂肪阶段四个指标进行肥胖综合评估，并提供正常范围参考值。</w:t>
            </w:r>
          </w:p>
        </w:tc>
        <w:tc>
          <w:tcPr>
            <w:tcW w:w="33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42F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68C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tr w14:paraId="58EF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7F7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14E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体型判定：隐形肥胖、脂肪过量、肥胖、低体重、标准体型、超重肌肉型、低脂肪低体重、低脂肪肌肉型、运动员型九种体型判定，并采用坐标轴图示。</w:t>
            </w:r>
          </w:p>
        </w:tc>
        <w:tc>
          <w:tcPr>
            <w:tcW w:w="33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D53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BB2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tr w14:paraId="55B53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E7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240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体重测量范围：5-250kg</w:t>
            </w:r>
          </w:p>
        </w:tc>
        <w:tc>
          <w:tcPr>
            <w:tcW w:w="33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139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C6B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tr w14:paraId="4D3AE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D12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87E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color w:val="000000"/>
                <w:sz w:val="18"/>
                <w:szCs w:val="18"/>
              </w:rPr>
              <w:t>产品使用期限：≥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8年</w:t>
            </w:r>
          </w:p>
        </w:tc>
        <w:tc>
          <w:tcPr>
            <w:tcW w:w="33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A7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C17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tr w14:paraId="5A57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82C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FAE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提供电脑管理软件及相应著作权证，便于系统上位机电脑控制和系统对接。</w:t>
            </w:r>
          </w:p>
        </w:tc>
        <w:tc>
          <w:tcPr>
            <w:tcW w:w="33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7DD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F90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bookmarkEnd w:id="0"/>
    </w:tbl>
    <w:p w14:paraId="52B36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contextualSpacing/>
        <w:textAlignment w:val="auto"/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  <w:t>注：</w:t>
      </w:r>
    </w:p>
    <w:p w14:paraId="0894C8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1.表格内容均需按要求填写并盖章，不得留空。</w:t>
      </w:r>
    </w:p>
    <w:p w14:paraId="186673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2.如技术偏离表中的竞标响应与佐证材料不一致的，以佐证材料为准。</w:t>
      </w:r>
    </w:p>
    <w:p w14:paraId="7060E33E">
      <w:pPr>
        <w:snapToGrid w:val="0"/>
        <w:spacing w:line="360" w:lineRule="auto"/>
        <w:ind w:firstLine="602" w:firstLineChars="200"/>
        <w:rPr>
          <w:rFonts w:hint="eastAsia" w:ascii="仿宋" w:hAnsi="仿宋" w:eastAsia="仿宋" w:cs="仿宋_GB2312"/>
          <w:b/>
          <w:color w:val="auto"/>
          <w:sz w:val="30"/>
          <w:szCs w:val="30"/>
        </w:rPr>
      </w:pPr>
      <w:r>
        <w:rPr>
          <w:rFonts w:hint="eastAsia" w:ascii="仿宋" w:hAnsi="仿宋" w:eastAsia="仿宋" w:cs="仿宋_GB2312"/>
          <w:b/>
          <w:color w:val="auto"/>
          <w:sz w:val="30"/>
          <w:szCs w:val="30"/>
        </w:rPr>
        <w:t xml:space="preserve"> </w:t>
      </w:r>
    </w:p>
    <w:p w14:paraId="26A40329">
      <w:pPr>
        <w:autoSpaceDE w:val="0"/>
        <w:autoSpaceDN w:val="0"/>
        <w:spacing w:line="360" w:lineRule="auto"/>
        <w:ind w:left="4415" w:leftChars="1950" w:hanging="320" w:hangingChars="100"/>
        <w:rPr>
          <w:rFonts w:hint="eastAsia" w:ascii="仿宋_GB2312" w:hAnsi="仿宋" w:eastAsia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供应商名称（签章）：</w:t>
      </w:r>
    </w:p>
    <w:p w14:paraId="1DFFC238">
      <w:pPr>
        <w:autoSpaceDE w:val="0"/>
        <w:autoSpaceDN w:val="0"/>
        <w:spacing w:line="360" w:lineRule="auto"/>
        <w:ind w:firstLine="4160" w:firstLineChars="1300"/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日期：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F4920"/>
    <w:rsid w:val="32615C73"/>
    <w:rsid w:val="79B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 Indent"/>
    <w:basedOn w:val="1"/>
    <w:uiPriority w:val="99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styleId="4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453</Words>
  <Characters>477</Characters>
  <Lines>0</Lines>
  <Paragraphs>0</Paragraphs>
  <TotalTime>1</TotalTime>
  <ScaleCrop>false</ScaleCrop>
  <LinksUpToDate>false</LinksUpToDate>
  <CharactersWithSpaces>495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2026-05-09T04:06:00Z</dcterms:created>
  <dc:creator>CGB-01</dc:creator>
  <cp:lastModifiedBy>-L.mc</cp:lastModifiedBy>
  <dcterms:modified xsi:type="dcterms:W3CDTF">2026-05-21T11:36:45Z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eyJoZGlkIjoiY2QzMGU5Mjk4NThlODdmNTFjZmViNjlmMzBlOGU2ZTUiLCJ1c2VySWQiOiIzNTcxNTkxMTcifQ==</vt:lpwstr>
  </property>
  <property fmtid="{D5CDD505-2E9C-101B-9397-08002B2CF9AE}" pid="4" name="ICV">
    <vt:lpwstr>9B54318E773D47FA9C1FA8BB2407D2EE_12</vt:lpwstr>
  </property>
</Properties>
</file>