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货物需求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表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三类双通道注射泵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663"/>
        <w:gridCol w:w="3276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号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bookmarkStart w:id="0" w:name="OLE_LINK10"/>
            <w:r>
              <w:rPr>
                <w:rFonts w:hint="eastAsia" w:ascii="宋体" w:hAnsi="宋体" w:eastAsia="宋体" w:cs="宋体"/>
                <w:sz w:val="21"/>
                <w:szCs w:val="21"/>
              </w:rPr>
              <w:t>▲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产品使用期限</w:t>
            </w:r>
            <w:bookmarkStart w:id="1" w:name="OLE_LINK9"/>
            <w:bookmarkStart w:id="2" w:name="OLE_LINK5"/>
            <w:bookmarkStart w:id="3" w:name="OLE_LINK6"/>
            <w:r>
              <w:rPr>
                <w:rFonts w:hint="eastAsia" w:ascii="宋体" w:hAnsi="宋体" w:eastAsia="宋体" w:cs="宋体"/>
                <w:sz w:val="21"/>
                <w:szCs w:val="21"/>
              </w:rPr>
              <w:t>≥</w:t>
            </w:r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sz w:val="21"/>
                <w:szCs w:val="21"/>
              </w:rPr>
              <w:t>10年，具有三类医疗器械注册证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1449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双通道为主机一体化设计，每个通道具备独立电源开关，使用时更节能。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945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272E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8E37C">
            <w:pPr>
              <w:pStyle w:val="8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注射精度≤±2%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0246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3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2B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AE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8B55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速率范围：0.01-2200ml/h, 最小步进0.01ml/h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48B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2D4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CB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997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99213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快进流速范围：0.01-2200ml/h，具有自动和手动快进可选；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C01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781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0EC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1A2B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8B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▲支持注射器规格： 5ml、10ml、20ml、30ml、50ml、60ml；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42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825C4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2AEDA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hanging="42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注射器安装后，在推拉盒触碰到注射器活塞末端时，不松开捏柄时推杆也可自动感应制动，防止药液误推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498D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hanging="42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需额外工具或设备，可直接在注射泵上添加注射器品牌名称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8EF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F7C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14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注射模式≥7种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D532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B281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B5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E74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9C4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显示屏≥3英寸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139C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6B51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D3A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12D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2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全中文软件操作界面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725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177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A57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2C9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3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锁屏功能：支持自动锁屏，自动锁屏时间可调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DD7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903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AB6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9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EBF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支持药物色彩标识，选择不同类型药物时对应的药物色彩标识自动显示在屏幕上，支持4种以上颜色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1F6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D99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E99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13D2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4F04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hanging="42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警时可通过示意图片直观提示报警信息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E05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0898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6A9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356B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62FC7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hanging="42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线动态压力监测，可实显示当前压力数值；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D64032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46AA58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BEB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0ECFD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  <w:p w14:paraId="39EDA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8F73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hanging="42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备阻塞后自动重启输功能，短暂性阻塞触发警后，泵检测到阻塞压力缓解时，无需人为干泵自动重新启动输液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A57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A70A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DA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E4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42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注射速度5ml/h情况下，电池工作时间≥4小时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D1B3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3E67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1.表格内容均需按要求填写并盖章，不得留空。</w:t>
      </w:r>
    </w:p>
    <w:p w14:paraId="7060E3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2.如技术偏离表中的竞标响应与佐证材料不一致的，以佐证材料为准。</w:t>
      </w:r>
    </w:p>
    <w:p w14:paraId="26A40329">
      <w:pPr>
        <w:autoSpaceDE w:val="0"/>
        <w:autoSpaceDN w:val="0"/>
        <w:spacing w:line="360" w:lineRule="auto"/>
        <w:ind w:left="4334" w:leftChars="2064" w:firstLine="0" w:firstLineChars="0"/>
        <w:rPr>
          <w:rFonts w:hint="eastAsia" w:ascii="仿宋_GB2312" w:hAnsi="仿宋" w:eastAsia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320" w:firstLineChars="1800"/>
        <w:rPr>
          <w:sz w:val="24"/>
          <w:szCs w:val="24"/>
        </w:rPr>
      </w:pPr>
      <w:bookmarkStart w:id="4" w:name="_GoBack"/>
      <w:bookmarkEnd w:id="4"/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5C73"/>
    <w:rsid w:val="6F261019"/>
    <w:rsid w:val="72FD5866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1"/>
    <w:basedOn w:val="1"/>
    <w:qFormat/>
    <w:uiPriority w:val="0"/>
    <w:pPr>
      <w:widowControl/>
      <w:spacing w:after="0" w:line="240" w:lineRule="auto"/>
    </w:pPr>
    <w:rPr>
      <w:rFonts w:ascii="Helvetica" w:hAnsi="Helvetica" w:eastAsia="宋体" w:cs="宋体"/>
      <w:color w:val="231D1C"/>
      <w:kern w:val="0"/>
      <w:sz w:val="12"/>
      <w:szCs w:val="1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551</Words>
  <Characters>701</Characters>
  <Lines>0</Lines>
  <Paragraphs>0</Paragraphs>
  <TotalTime>4</TotalTime>
  <ScaleCrop>false</ScaleCrop>
  <LinksUpToDate>false</LinksUpToDate>
  <CharactersWithSpaces>782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2026-06-08T07:51:32Z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