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4E689">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both"/>
        <w:textAlignment w:val="auto"/>
        <w:rPr>
          <w:rFonts w:hint="eastAsia" w:ascii="方正小标宋简体" w:hAnsi="方正小标宋简体" w:eastAsia="方正小标宋简体" w:cs="方正小标宋简体"/>
          <w:color w:val="000000" w:themeColor="text1"/>
          <w:sz w:val="36"/>
          <w:szCs w:val="36"/>
          <w:lang w:val="en-US" w:eastAsia="zh-CN"/>
        </w:rPr>
      </w:pPr>
      <w:r>
        <w:rPr>
          <w:rFonts w:hint="eastAsia" w:ascii="黑体" w:hAnsi="黑体" w:eastAsia="黑体"/>
          <w:color w:val="000000" w:themeColor="text1"/>
          <w:sz w:val="32"/>
          <w:szCs w:val="32"/>
        </w:rPr>
        <w:t>附件1</w:t>
      </w:r>
    </w:p>
    <w:p w14:paraId="5755249E">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南宁市武鸣区中医医院第三批医疗设备</w:t>
      </w:r>
    </w:p>
    <w:p w14:paraId="5F8F8945">
      <w:pPr>
        <w:pStyle w:val="13"/>
        <w:keepNext w:val="0"/>
        <w:keepLines w:val="0"/>
        <w:pageBreakBefore w:val="0"/>
        <w:widowControl w:val="0"/>
        <w:kinsoku/>
        <w:wordWrap/>
        <w:overflowPunct/>
        <w:topLinePunct w:val="0"/>
        <w:autoSpaceDE/>
        <w:autoSpaceDN/>
        <w:bidi w:val="0"/>
        <w:adjustRightInd w:val="0"/>
        <w:snapToGrid w:val="0"/>
        <w:spacing w:after="0" w:line="560" w:lineRule="exact"/>
        <w:ind w:left="0" w:leftChars="0" w:right="0" w:firstLine="0" w:firstLineChars="0"/>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4"/>
          <w:szCs w:val="44"/>
          <w:lang w:val="en-US" w:eastAsia="zh-CN"/>
        </w:rPr>
        <w:t>采购项目采购需求及参数</w:t>
      </w:r>
    </w:p>
    <w:p w14:paraId="738EA28D">
      <w:pPr>
        <w:keepNext w:val="0"/>
        <w:keepLines w:val="0"/>
        <w:pageBreakBefore w:val="0"/>
        <w:widowControl w:val="0"/>
        <w:kinsoku/>
        <w:wordWrap/>
        <w:overflowPunct/>
        <w:topLinePunct w:val="0"/>
        <w:autoSpaceDE/>
        <w:autoSpaceDN/>
        <w:bidi w:val="0"/>
        <w:adjustRightInd/>
        <w:spacing w:line="520" w:lineRule="exact"/>
        <w:jc w:val="center"/>
        <w:textAlignment w:val="auto"/>
        <w:rPr>
          <w:rFonts w:hint="default" w:ascii="方正小标宋简体" w:hAnsi="方正小标宋简体" w:eastAsia="方正小标宋简体" w:cs="方正小标宋简体"/>
          <w:sz w:val="36"/>
          <w:szCs w:val="36"/>
          <w:lang w:val="en-US" w:eastAsia="zh-CN"/>
        </w:rPr>
      </w:pPr>
    </w:p>
    <w:p w14:paraId="15D9E9AB">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黑体" w:hAnsi="黑体" w:eastAsia="黑体" w:cs="黑体"/>
          <w:b w:val="0"/>
          <w:bCs/>
          <w:sz w:val="32"/>
          <w:szCs w:val="32"/>
          <w:lang w:val="en-US" w:eastAsia="zh-CN"/>
        </w:rPr>
      </w:pPr>
      <w:r>
        <w:rPr>
          <w:rFonts w:hint="eastAsia" w:ascii="黑体" w:hAnsi="黑体" w:eastAsia="黑体" w:cs="黑体"/>
          <w:b w:val="0"/>
          <w:bCs/>
          <w:kern w:val="2"/>
          <w:sz w:val="32"/>
          <w:szCs w:val="32"/>
          <w:lang w:val="en-US" w:eastAsia="zh-CN" w:bidi="ar-SA"/>
        </w:rPr>
        <w:t>一、</w:t>
      </w:r>
      <w:r>
        <w:rPr>
          <w:rFonts w:hint="eastAsia" w:ascii="黑体" w:hAnsi="黑体" w:eastAsia="黑体" w:cs="黑体"/>
          <w:b w:val="0"/>
          <w:bCs/>
          <w:sz w:val="32"/>
          <w:szCs w:val="32"/>
          <w:lang w:val="en-US" w:eastAsia="zh-CN"/>
        </w:rPr>
        <w:t>采购需求</w:t>
      </w:r>
    </w:p>
    <w:p w14:paraId="54E83EC3">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eastAsia="楷体_GB2312" w:cs="宋体"/>
          <w:sz w:val="32"/>
          <w:szCs w:val="32"/>
          <w:lang w:val="en-US" w:eastAsia="zh-CN"/>
        </w:rPr>
      </w:pPr>
      <w:r>
        <w:rPr>
          <w:rFonts w:hint="eastAsia" w:ascii="仿宋_GB2312" w:eastAsia="仿宋_GB2312" w:cs="宋体"/>
          <w:kern w:val="2"/>
          <w:sz w:val="32"/>
          <w:szCs w:val="32"/>
          <w:lang w:val="en-US" w:eastAsia="zh-CN" w:bidi="ar-SA"/>
        </w:rPr>
        <w:t>说明：</w:t>
      </w:r>
      <w:r>
        <w:rPr>
          <w:rFonts w:hint="eastAsia" w:ascii="仿宋_GB2312" w:eastAsia="仿宋_GB2312" w:cs="宋体" w:hAnsiTheme="minorHAnsi"/>
          <w:kern w:val="2"/>
          <w:sz w:val="32"/>
          <w:szCs w:val="32"/>
          <w:lang w:val="en-US" w:eastAsia="zh-CN" w:bidi="ar-SA"/>
        </w:rPr>
        <w:t>标三角形▲为必须响应的参数，负偏离或者已经指明不满足该报价作无效处理</w:t>
      </w:r>
      <w:r>
        <w:rPr>
          <w:rFonts w:hint="eastAsia" w:ascii="仿宋_GB2312" w:eastAsia="仿宋_GB2312" w:cs="宋体"/>
          <w:kern w:val="2"/>
          <w:sz w:val="32"/>
          <w:szCs w:val="32"/>
          <w:lang w:val="en-US" w:eastAsia="zh-CN" w:bidi="ar-SA"/>
        </w:rPr>
        <w:t>。所有</w:t>
      </w:r>
      <w:r>
        <w:rPr>
          <w:rFonts w:hint="eastAsia" w:ascii="仿宋_GB2312" w:eastAsia="仿宋_GB2312" w:cs="宋体" w:hAnsiTheme="minorHAnsi"/>
          <w:kern w:val="2"/>
          <w:sz w:val="32"/>
          <w:szCs w:val="32"/>
          <w:lang w:val="en-US" w:eastAsia="zh-CN" w:bidi="ar-SA"/>
        </w:rPr>
        <w:t>设备的质量保证期不少于3年。按国家有关产品“三包”规定执行“三包”，质保期除特别注明外，最短不得少于3年。质保期内负责上门服务、维修、更换配件，不得收取任何费用。自提交货物并验收合格之日起计，若厂家免费质保期超过一年的，按厂家规定保修；同时提供产品“三包”服务，每年至少定期回访1次，以及对设备维修服务，质保期后提供终身维修服务，其余按投标人提交的售后服务承诺书执行；所有非故意性损坏以及在要求质量标准范围内的正常使用造成的损坏均要免费维修。对因采购方人员的不正当使用所造成的损坏不归中标人负责保修，但中标人也要积极帮助采购人修理，并保证提供优惠价格的配件和服务。</w:t>
      </w:r>
    </w:p>
    <w:p w14:paraId="62952A9D">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eastAsia="仿宋_GB2312" w:cs="宋体"/>
          <w:kern w:val="2"/>
          <w:sz w:val="32"/>
          <w:szCs w:val="32"/>
          <w:lang w:val="en-US" w:eastAsia="zh-CN" w:bidi="ar-SA"/>
        </w:rPr>
      </w:pPr>
      <w:r>
        <w:rPr>
          <w:rFonts w:hint="eastAsia" w:ascii="黑体" w:hAnsi="黑体" w:eastAsia="黑体" w:cs="黑体"/>
          <w:b w:val="0"/>
          <w:bCs/>
          <w:kern w:val="2"/>
          <w:sz w:val="32"/>
          <w:szCs w:val="32"/>
          <w:lang w:val="en-US" w:eastAsia="zh-CN" w:bidi="ar-SA"/>
        </w:rPr>
        <w:t>二、采购参数</w:t>
      </w:r>
    </w:p>
    <w:p w14:paraId="09636D8C">
      <w:pPr>
        <w:keepNext w:val="0"/>
        <w:keepLines w:val="0"/>
        <w:pageBreakBefore w:val="0"/>
        <w:numPr>
          <w:ilvl w:val="0"/>
          <w:numId w:val="0"/>
        </w:numPr>
        <w:kinsoku/>
        <w:wordWrap/>
        <w:overflowPunct/>
        <w:topLinePunct w:val="0"/>
        <w:autoSpaceDE/>
        <w:autoSpaceDN/>
        <w:bidi w:val="0"/>
        <w:adjustRightInd/>
        <w:spacing w:line="500" w:lineRule="exact"/>
        <w:ind w:left="0" w:firstLine="643" w:firstLineChars="200"/>
        <w:textAlignment w:val="auto"/>
        <w:rPr>
          <w:rFonts w:hint="default"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（一）分标1:全自动生化免疫分析系统</w:t>
      </w:r>
    </w:p>
    <w:p w14:paraId="006DB2AB">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1.</w:t>
      </w:r>
      <w:r>
        <w:rPr>
          <w:rFonts w:hint="eastAsia" w:ascii="仿宋_GB2312" w:eastAsia="仿宋_GB2312" w:cs="宋体" w:hAnsiTheme="minorHAnsi"/>
          <w:kern w:val="2"/>
          <w:sz w:val="32"/>
          <w:szCs w:val="32"/>
          <w:lang w:val="en-US" w:eastAsia="zh-CN" w:bidi="ar-SA"/>
        </w:rPr>
        <w:t>总体技术要求</w:t>
      </w:r>
    </w:p>
    <w:p w14:paraId="68BC09C2">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（1）</w:t>
      </w:r>
      <w:r>
        <w:rPr>
          <w:rFonts w:hint="eastAsia" w:ascii="仿宋_GB2312" w:eastAsia="仿宋_GB2312" w:cs="宋体" w:hAnsiTheme="minorHAnsi"/>
          <w:kern w:val="2"/>
          <w:sz w:val="32"/>
          <w:szCs w:val="32"/>
          <w:lang w:val="en-US" w:eastAsia="zh-CN" w:bidi="ar-SA"/>
        </w:rPr>
        <w:t>各模块为国产同一品牌；</w:t>
      </w:r>
    </w:p>
    <w:p w14:paraId="56CA1697">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（2）</w:t>
      </w:r>
      <w:r>
        <w:rPr>
          <w:rFonts w:hint="eastAsia" w:ascii="仿宋_GB2312" w:eastAsia="仿宋_GB2312" w:cs="宋体" w:hAnsiTheme="minorHAnsi"/>
          <w:kern w:val="2"/>
          <w:sz w:val="32"/>
          <w:szCs w:val="32"/>
          <w:lang w:val="en-US" w:eastAsia="zh-CN" w:bidi="ar-SA"/>
        </w:rPr>
        <w:t>样本处理模块：样本位≥150个，急诊位≥5个；</w:t>
      </w:r>
    </w:p>
    <w:p w14:paraId="5A7100A6">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2.</w:t>
      </w:r>
      <w:r>
        <w:rPr>
          <w:rFonts w:hint="eastAsia" w:ascii="仿宋_GB2312" w:eastAsia="仿宋_GB2312" w:cs="宋体" w:hAnsiTheme="minorHAnsi"/>
          <w:kern w:val="2"/>
          <w:sz w:val="32"/>
          <w:szCs w:val="32"/>
          <w:lang w:val="en-US" w:eastAsia="zh-CN" w:bidi="ar-SA"/>
        </w:rPr>
        <w:t>全自动生化分析模块技术要求</w:t>
      </w:r>
    </w:p>
    <w:p w14:paraId="01A8F59B">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（1）</w:t>
      </w:r>
      <w:r>
        <w:rPr>
          <w:rFonts w:hint="eastAsia" w:ascii="仿宋_GB2312" w:eastAsia="仿宋_GB2312" w:cs="宋体" w:hAnsiTheme="minorHAnsi"/>
          <w:kern w:val="2"/>
          <w:sz w:val="32"/>
          <w:szCs w:val="32"/>
          <w:lang w:val="en-US" w:eastAsia="zh-CN" w:bidi="ar-SA"/>
        </w:rPr>
        <w:t>方法学：终点法,两点法，速率法等多种方法；</w:t>
      </w:r>
    </w:p>
    <w:p w14:paraId="0010DDBA">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（2）</w:t>
      </w:r>
      <w:r>
        <w:rPr>
          <w:rFonts w:hint="eastAsia" w:ascii="仿宋_GB2312" w:eastAsia="仿宋_GB2312" w:cs="宋体" w:hAnsiTheme="minorHAnsi"/>
          <w:kern w:val="2"/>
          <w:sz w:val="32"/>
          <w:szCs w:val="32"/>
          <w:lang w:val="en-US" w:eastAsia="zh-CN" w:bidi="ar-SA"/>
        </w:rPr>
        <w:t>处理能力：生化比色检测速度≥600测试/小时；</w:t>
      </w:r>
    </w:p>
    <w:p w14:paraId="20394687">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（3）</w:t>
      </w:r>
      <w:r>
        <w:rPr>
          <w:rFonts w:hint="eastAsia" w:ascii="仿宋_GB2312" w:eastAsia="仿宋_GB2312" w:cs="宋体" w:hAnsiTheme="minorHAnsi"/>
          <w:kern w:val="2"/>
          <w:sz w:val="32"/>
          <w:szCs w:val="32"/>
          <w:lang w:val="en-US" w:eastAsia="zh-CN" w:bidi="ar-SA"/>
        </w:rPr>
        <w:t>进样方式：轨道式进样，可不停机连续装载；</w:t>
      </w:r>
    </w:p>
    <w:p w14:paraId="72EA3BCE">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（4）</w:t>
      </w:r>
      <w:r>
        <w:rPr>
          <w:rFonts w:hint="eastAsia" w:ascii="仿宋_GB2312" w:eastAsia="仿宋_GB2312" w:cs="宋体" w:hAnsiTheme="minorHAnsi"/>
          <w:kern w:val="2"/>
          <w:sz w:val="32"/>
          <w:szCs w:val="32"/>
          <w:lang w:val="en-US" w:eastAsia="zh-CN" w:bidi="ar-SA"/>
        </w:rPr>
        <w:t>试剂冷藏：2-8℃或5-15℃连续冷藏，压缩机制冷方式；</w:t>
      </w:r>
    </w:p>
    <w:p w14:paraId="03006C7C">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（5）</w:t>
      </w:r>
      <w:r>
        <w:rPr>
          <w:rFonts w:hint="eastAsia" w:ascii="仿宋_GB2312" w:eastAsia="仿宋_GB2312" w:cs="宋体" w:hAnsiTheme="minorHAnsi"/>
          <w:kern w:val="2"/>
          <w:sz w:val="32"/>
          <w:szCs w:val="32"/>
          <w:lang w:val="en-US" w:eastAsia="zh-CN" w:bidi="ar-SA"/>
        </w:rPr>
        <w:t>恒温系统：恒温水浴加热，控温精度37℃±0.1℃；</w:t>
      </w:r>
    </w:p>
    <w:p w14:paraId="57D5DD92">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3.</w:t>
      </w:r>
      <w:r>
        <w:rPr>
          <w:rFonts w:hint="eastAsia" w:ascii="仿宋_GB2312" w:eastAsia="仿宋_GB2312" w:cs="宋体" w:hAnsiTheme="minorHAnsi"/>
          <w:kern w:val="2"/>
          <w:sz w:val="32"/>
          <w:szCs w:val="32"/>
          <w:lang w:val="en-US" w:eastAsia="zh-CN" w:bidi="ar-SA"/>
        </w:rPr>
        <w:t>全自动化学发光免疫分析模块技术要求</w:t>
      </w:r>
    </w:p>
    <w:p w14:paraId="5A08E045">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（1）</w:t>
      </w:r>
      <w:r>
        <w:rPr>
          <w:rFonts w:hint="eastAsia" w:ascii="仿宋_GB2312" w:eastAsia="仿宋_GB2312" w:cs="宋体" w:hAnsiTheme="minorHAnsi"/>
          <w:kern w:val="2"/>
          <w:sz w:val="32"/>
          <w:szCs w:val="32"/>
          <w:lang w:val="en-US" w:eastAsia="zh-CN" w:bidi="ar-SA"/>
        </w:rPr>
        <w:t>方法学：非酶参与的直接化学发光；</w:t>
      </w:r>
    </w:p>
    <w:p w14:paraId="664BD319">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（2）</w:t>
      </w:r>
      <w:r>
        <w:rPr>
          <w:rFonts w:hint="eastAsia" w:ascii="仿宋_GB2312" w:eastAsia="仿宋_GB2312" w:cs="宋体" w:hAnsiTheme="minorHAnsi"/>
          <w:kern w:val="2"/>
          <w:sz w:val="32"/>
          <w:szCs w:val="32"/>
          <w:lang w:val="en-US" w:eastAsia="zh-CN" w:bidi="ar-SA"/>
        </w:rPr>
        <w:t>处理能力：≥200测试/小时；</w:t>
      </w:r>
    </w:p>
    <w:p w14:paraId="16F0B078">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（3）</w:t>
      </w:r>
      <w:r>
        <w:rPr>
          <w:rFonts w:hint="eastAsia" w:ascii="仿宋_GB2312" w:eastAsia="仿宋_GB2312" w:cs="宋体" w:hAnsiTheme="minorHAnsi"/>
          <w:kern w:val="2"/>
          <w:sz w:val="32"/>
          <w:szCs w:val="32"/>
          <w:lang w:val="en-US" w:eastAsia="zh-CN" w:bidi="ar-SA"/>
        </w:rPr>
        <w:t>进样方式：轨道式进样，可不停机连续装载；</w:t>
      </w:r>
    </w:p>
    <w:p w14:paraId="0857F072">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（4）</w:t>
      </w:r>
      <w:r>
        <w:rPr>
          <w:rFonts w:hint="eastAsia" w:ascii="仿宋_GB2312" w:eastAsia="仿宋_GB2312" w:cs="宋体" w:hAnsiTheme="minorHAnsi"/>
          <w:kern w:val="2"/>
          <w:sz w:val="32"/>
          <w:szCs w:val="32"/>
          <w:lang w:val="en-US" w:eastAsia="zh-CN" w:bidi="ar-SA"/>
        </w:rPr>
        <w:t xml:space="preserve">仪器试剂位，独立高效制冷系统，温度稳定； </w:t>
      </w:r>
    </w:p>
    <w:p w14:paraId="39373AE6">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（5）</w:t>
      </w:r>
      <w:r>
        <w:rPr>
          <w:rFonts w:hint="eastAsia" w:ascii="仿宋_GB2312" w:eastAsia="仿宋_GB2312" w:cs="宋体" w:hAnsiTheme="minorHAnsi"/>
          <w:kern w:val="2"/>
          <w:sz w:val="32"/>
          <w:szCs w:val="32"/>
          <w:lang w:val="en-US" w:eastAsia="zh-CN" w:bidi="ar-SA"/>
        </w:rPr>
        <w:t>样本针类型：钢针，无需TIP头降低耗材成本；</w:t>
      </w:r>
    </w:p>
    <w:p w14:paraId="095A1B49">
      <w:pPr>
        <w:keepNext w:val="0"/>
        <w:keepLines w:val="0"/>
        <w:pageBreakBefore w:val="0"/>
        <w:numPr>
          <w:ilvl w:val="0"/>
          <w:numId w:val="0"/>
        </w:numPr>
        <w:kinsoku/>
        <w:wordWrap/>
        <w:overflowPunct/>
        <w:topLinePunct w:val="0"/>
        <w:autoSpaceDE/>
        <w:autoSpaceDN/>
        <w:bidi w:val="0"/>
        <w:adjustRightInd/>
        <w:spacing w:line="500" w:lineRule="exact"/>
        <w:ind w:left="0"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（6）</w:t>
      </w:r>
      <w:r>
        <w:rPr>
          <w:rFonts w:hint="eastAsia" w:ascii="仿宋_GB2312" w:eastAsia="仿宋_GB2312" w:cs="宋体" w:hAnsiTheme="minorHAnsi"/>
          <w:kern w:val="2"/>
          <w:sz w:val="32"/>
          <w:szCs w:val="32"/>
          <w:lang w:val="en-US" w:eastAsia="zh-CN" w:bidi="ar-SA"/>
        </w:rPr>
        <w:t>固液分离：反应完毕后固液分离，避免污染；</w:t>
      </w:r>
    </w:p>
    <w:p w14:paraId="20B6D265">
      <w:pPr>
        <w:keepNext w:val="0"/>
        <w:keepLines w:val="0"/>
        <w:pageBreakBefore w:val="0"/>
        <w:numPr>
          <w:ilvl w:val="0"/>
          <w:numId w:val="0"/>
        </w:numPr>
        <w:kinsoku/>
        <w:wordWrap/>
        <w:overflowPunct/>
        <w:topLinePunct w:val="0"/>
        <w:autoSpaceDE/>
        <w:autoSpaceDN/>
        <w:bidi w:val="0"/>
        <w:adjustRightInd/>
        <w:spacing w:line="500" w:lineRule="exact"/>
        <w:ind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（7）</w:t>
      </w:r>
      <w:r>
        <w:rPr>
          <w:rFonts w:hint="eastAsia" w:ascii="仿宋_GB2312" w:eastAsia="仿宋_GB2312" w:cs="宋体" w:hAnsiTheme="minorHAnsi"/>
          <w:kern w:val="2"/>
          <w:sz w:val="32"/>
          <w:szCs w:val="32"/>
          <w:lang w:val="en-US" w:eastAsia="zh-CN" w:bidi="ar-SA"/>
        </w:rPr>
        <w:t>可开展项目≥50项，包括但不限于：甲状腺功能类、肿瘤标志物类、性激素类、生长发育类、心肌炎症类、骨代谢类、高血压类及传染病类等。</w:t>
      </w:r>
    </w:p>
    <w:p w14:paraId="29F5D9F9">
      <w:pPr>
        <w:keepNext w:val="0"/>
        <w:keepLines w:val="0"/>
        <w:pageBreakBefore w:val="0"/>
        <w:numPr>
          <w:ilvl w:val="0"/>
          <w:numId w:val="0"/>
        </w:numPr>
        <w:kinsoku/>
        <w:wordWrap/>
        <w:overflowPunct/>
        <w:topLinePunct w:val="0"/>
        <w:autoSpaceDE/>
        <w:autoSpaceDN/>
        <w:bidi w:val="0"/>
        <w:adjustRightInd/>
        <w:spacing w:line="500" w:lineRule="exact"/>
        <w:ind w:firstLine="640" w:firstLineChars="200"/>
        <w:textAlignment w:val="auto"/>
        <w:rPr>
          <w:rFonts w:hint="eastAsia"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（8）</w:t>
      </w:r>
      <w:r>
        <w:rPr>
          <w:rFonts w:hint="eastAsia" w:ascii="仿宋_GB2312" w:eastAsia="仿宋_GB2312" w:cs="宋体" w:hAnsiTheme="minorHAnsi"/>
          <w:kern w:val="2"/>
          <w:sz w:val="32"/>
          <w:szCs w:val="32"/>
          <w:lang w:val="en-US" w:eastAsia="zh-CN" w:bidi="ar-SA"/>
        </w:rPr>
        <w:t>配置电脑、打印机,并接入医院信息体统</w:t>
      </w:r>
    </w:p>
    <w:p w14:paraId="7F4CCA02">
      <w:pPr>
        <w:keepNext w:val="0"/>
        <w:keepLines w:val="0"/>
        <w:pageBreakBefore w:val="0"/>
        <w:numPr>
          <w:ilvl w:val="0"/>
          <w:numId w:val="0"/>
        </w:numPr>
        <w:kinsoku/>
        <w:wordWrap/>
        <w:overflowPunct/>
        <w:topLinePunct w:val="0"/>
        <w:autoSpaceDE/>
        <w:autoSpaceDN/>
        <w:bidi w:val="0"/>
        <w:adjustRightInd/>
        <w:spacing w:line="500" w:lineRule="exact"/>
        <w:ind w:firstLine="640" w:firstLineChars="200"/>
        <w:textAlignment w:val="auto"/>
        <w:rPr>
          <w:rFonts w:hint="default" w:ascii="仿宋_GB2312" w:eastAsia="仿宋_GB2312" w:cs="宋体" w:hAnsiTheme="minorHAnsi"/>
          <w:kern w:val="2"/>
          <w:sz w:val="32"/>
          <w:szCs w:val="32"/>
          <w:lang w:val="en-US" w:eastAsia="zh-CN" w:bidi="ar-SA"/>
        </w:rPr>
      </w:pPr>
      <w:r>
        <w:rPr>
          <w:rFonts w:hint="eastAsia" w:ascii="仿宋_GB2312" w:eastAsia="仿宋_GB2312" w:cs="宋体"/>
          <w:kern w:val="2"/>
          <w:sz w:val="32"/>
          <w:szCs w:val="32"/>
          <w:lang w:val="en-US" w:eastAsia="zh-CN" w:bidi="ar-SA"/>
        </w:rPr>
        <w:t>4.涉及专机专用检验试剂请按每人份形成报价材料。</w:t>
      </w:r>
    </w:p>
    <w:p w14:paraId="7B67A305">
      <w:pPr>
        <w:keepNext w:val="0"/>
        <w:keepLines w:val="0"/>
        <w:pageBreakBefore w:val="0"/>
        <w:numPr>
          <w:ilvl w:val="0"/>
          <w:numId w:val="0"/>
        </w:numPr>
        <w:kinsoku/>
        <w:wordWrap/>
        <w:overflowPunct/>
        <w:topLinePunct w:val="0"/>
        <w:autoSpaceDE/>
        <w:autoSpaceDN/>
        <w:bidi w:val="0"/>
        <w:adjustRightInd/>
        <w:spacing w:line="500" w:lineRule="exact"/>
        <w:ind w:firstLine="643" w:firstLineChars="200"/>
        <w:textAlignment w:val="auto"/>
        <w:rPr>
          <w:rFonts w:hint="default"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（二）分标2：生物安全柜</w:t>
      </w:r>
    </w:p>
    <w:p w14:paraId="1EF952E6">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1.噪音等级：≤65dB（A）；</w:t>
      </w:r>
    </w:p>
    <w:p w14:paraId="6EF816E2">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2.照明：≥1000lx；</w:t>
      </w:r>
    </w:p>
    <w:p w14:paraId="46C25BAD">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3.过滤效率:送风和排风过滤器均采用知名品牌的硼硅酸盐玻璃纤维材质的ULPA高效过滤器，对0.12μm颗粒过滤效率≥99.9995%；</w:t>
      </w:r>
    </w:p>
    <w:p w14:paraId="2B2784CF">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4.人员安全性：用碘化钾（KI）法测试，前窗操作口的保护因子应不小于1×105 ；</w:t>
      </w:r>
    </w:p>
    <w:p w14:paraId="01AB6FB7">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5.产品安全性：菌落数≤5CFU/次 ；</w:t>
      </w:r>
    </w:p>
    <w:p w14:paraId="480837A5">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6.交叉污染安全性：菌落数≤2CFU/次；</w:t>
      </w:r>
    </w:p>
    <w:p w14:paraId="045495D4">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7.具有预约定时功能，能自动设定安全柜定时开机、关机及紫外灯消毒时间； </w:t>
      </w:r>
    </w:p>
    <w:p w14:paraId="1F1D952E">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8.严格的气密性检测；</w:t>
      </w:r>
    </w:p>
    <w:p w14:paraId="4711A9DD">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9.负压风道设有异物过滤结构；</w:t>
      </w:r>
    </w:p>
    <w:p w14:paraId="13A65AE5">
      <w:pPr>
        <w:keepNext w:val="0"/>
        <w:keepLines w:val="0"/>
        <w:pageBreakBefore w:val="0"/>
        <w:kinsoku/>
        <w:wordWrap/>
        <w:overflowPunct/>
        <w:topLinePunct w:val="0"/>
        <w:autoSpaceDE/>
        <w:autoSpaceDN/>
        <w:bidi w:val="0"/>
        <w:adjustRightInd/>
        <w:snapToGrid/>
        <w:spacing w:line="500" w:lineRule="exact"/>
        <w:ind w:firstLine="640" w:firstLineChars="200"/>
        <w:contextualSpacing/>
        <w:jc w:val="both"/>
        <w:textAlignment w:val="auto"/>
        <w:rPr>
          <w:rFonts w:hint="eastAsia" w:ascii="仿宋_GB2312" w:hAnsi="宋体" w:eastAsia="仿宋_GB2312" w:cs="宋体"/>
          <w:sz w:val="32"/>
          <w:szCs w:val="32"/>
          <w:lang w:eastAsia="zh-CN"/>
        </w:rPr>
      </w:pPr>
      <w:r>
        <w:rPr>
          <w:rFonts w:hint="eastAsia" w:ascii="仿宋_GB2312" w:eastAsia="仿宋_GB2312"/>
          <w:sz w:val="32"/>
          <w:szCs w:val="32"/>
          <w:lang w:val="en-US" w:eastAsia="zh-CN"/>
        </w:rPr>
        <w:t>10.每次可使用人数：1—2人</w:t>
      </w:r>
    </w:p>
    <w:p w14:paraId="7C13E69E">
      <w:pPr>
        <w:keepNext w:val="0"/>
        <w:keepLines w:val="0"/>
        <w:pageBreakBefore w:val="0"/>
        <w:numPr>
          <w:ilvl w:val="0"/>
          <w:numId w:val="0"/>
        </w:numPr>
        <w:kinsoku/>
        <w:wordWrap/>
        <w:overflowPunct/>
        <w:topLinePunct w:val="0"/>
        <w:autoSpaceDE/>
        <w:autoSpaceDN/>
        <w:bidi w:val="0"/>
        <w:adjustRightInd/>
        <w:spacing w:line="500" w:lineRule="exact"/>
        <w:ind w:left="0" w:firstLine="643" w:firstLineChars="200"/>
        <w:textAlignment w:val="auto"/>
        <w:rPr>
          <w:rFonts w:hint="default"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（三）分标3</w:t>
      </w:r>
      <w:bookmarkStart w:id="1" w:name="_GoBack"/>
      <w:bookmarkEnd w:id="1"/>
      <w:r>
        <w:rPr>
          <w:rFonts w:hint="eastAsia" w:ascii="方正楷体_GB2312" w:hAnsi="方正楷体_GB2312" w:eastAsia="方正楷体_GB2312" w:cs="方正楷体_GB2312"/>
          <w:b/>
          <w:bCs/>
          <w:sz w:val="32"/>
          <w:szCs w:val="32"/>
          <w:lang w:val="en-US" w:eastAsia="zh-CN"/>
        </w:rPr>
        <w:t>：手持式全数字超声诊断仪</w:t>
      </w:r>
    </w:p>
    <w:p w14:paraId="05D45B64">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1.扫描方式：电子阵列扫描</w:t>
      </w:r>
    </w:p>
    <w:p w14:paraId="434DDE06">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2.探头频率：凸阵 3.5/5.0MHz，</w:t>
      </w:r>
    </w:p>
    <w:p w14:paraId="5EC5F866">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3.扫描深度：凸阵100mm~300mm可调</w:t>
      </w:r>
    </w:p>
    <w:p w14:paraId="6FF77E3E">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3.显示模式：B、B/M、CF、PW、PDI</w:t>
      </w:r>
    </w:p>
    <w:p w14:paraId="582335CF">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4.图像调节：增益、焦点、反相脉冲谐波、降噪</w:t>
      </w:r>
    </w:p>
    <w:p w14:paraId="5916CB34">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5.电池工作时间：≥5小时</w:t>
      </w:r>
    </w:p>
    <w:p w14:paraId="4D1CA6CB">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6.测量功能：距离、面积、周长、心率</w:t>
      </w:r>
    </w:p>
    <w:p w14:paraId="317391B5">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▲7.探头与主机连接方式：wifi无线连接</w:t>
      </w:r>
    </w:p>
    <w:p w14:paraId="04D47168">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8.软件支持系统：苹果 iOS 和安卓 Android，Windows</w:t>
      </w:r>
    </w:p>
    <w:p w14:paraId="596D4133">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9.图像帧频：20f/s</w:t>
      </w:r>
    </w:p>
    <w:p w14:paraId="733F7494">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10.使用年限≥8年，平板主机（内存≥500G）</w:t>
      </w:r>
    </w:p>
    <w:p w14:paraId="476283C2">
      <w:pPr>
        <w:keepNext w:val="0"/>
        <w:keepLines w:val="0"/>
        <w:pageBreakBefore w:val="0"/>
        <w:kinsoku/>
        <w:wordWrap/>
        <w:overflowPunct/>
        <w:topLinePunct w:val="0"/>
        <w:autoSpaceDE/>
        <w:autoSpaceDN/>
        <w:bidi w:val="0"/>
        <w:spacing w:line="500" w:lineRule="exact"/>
        <w:ind w:left="0" w:firstLine="640" w:firstLineChars="200"/>
        <w:textAlignment w:val="auto"/>
        <w:rPr>
          <w:rFonts w:hint="default" w:ascii="仿宋_GB2312" w:eastAsia="仿宋_GB2312" w:cs="宋体"/>
          <w:sz w:val="32"/>
          <w:szCs w:val="32"/>
          <w:lang w:val="en-US" w:eastAsia="zh-CN"/>
        </w:rPr>
      </w:pPr>
    </w:p>
    <w:p w14:paraId="59DE2F22">
      <w:pPr>
        <w:keepNext w:val="0"/>
        <w:keepLines w:val="0"/>
        <w:pageBreakBefore w:val="0"/>
        <w:kinsoku/>
        <w:wordWrap/>
        <w:overflowPunct/>
        <w:topLinePunct w:val="0"/>
        <w:bidi w:val="0"/>
        <w:snapToGrid w:val="0"/>
        <w:spacing w:line="500" w:lineRule="exact"/>
        <w:textAlignment w:val="baseline"/>
        <w:rPr>
          <w:rFonts w:hint="eastAsia" w:ascii="宋体" w:hAnsi="宋体" w:cs="宋体"/>
          <w:b w:val="0"/>
          <w:bCs w:val="0"/>
          <w:sz w:val="32"/>
          <w:szCs w:val="32"/>
        </w:rPr>
      </w:pPr>
      <w:bookmarkStart w:id="0" w:name="_Toc18681"/>
    </w:p>
    <w:p w14:paraId="27EF86B5">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p w14:paraId="35971605">
      <w:pPr>
        <w:snapToGrid w:val="0"/>
        <w:spacing w:before="50" w:after="50" w:line="440" w:lineRule="exact"/>
        <w:textAlignment w:val="baseline"/>
        <w:rPr>
          <w:rFonts w:hint="eastAsia" w:ascii="黑体" w:hAnsi="黑体" w:eastAsia="黑体" w:cs="宋体"/>
          <w:color w:val="000000" w:themeColor="text1"/>
          <w:sz w:val="32"/>
          <w:szCs w:val="32"/>
        </w:rPr>
      </w:pPr>
    </w:p>
    <w:p w14:paraId="50135DDF">
      <w:pPr>
        <w:snapToGrid w:val="0"/>
        <w:spacing w:before="50" w:after="50" w:line="440" w:lineRule="exact"/>
        <w:textAlignment w:val="baseline"/>
        <w:rPr>
          <w:rFonts w:hint="eastAsia" w:ascii="黑体" w:hAnsi="黑体" w:eastAsia="黑体" w:cs="宋体"/>
          <w:color w:val="000000" w:themeColor="text1"/>
          <w:sz w:val="32"/>
          <w:szCs w:val="32"/>
        </w:rPr>
      </w:pPr>
    </w:p>
    <w:bookmarkEnd w:id="0"/>
    <w:p w14:paraId="4B691CAF">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25AE45-B750-409F-B67E-2536D87607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DD66CEC-B33D-4752-9A39-A6C699CF8D2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5F7A956-73EB-420C-9F7B-6F302A4DFC42}"/>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4" w:fontKey="{43DEE76C-6CFB-4995-B80A-9123F06D7B57}"/>
  </w:font>
  <w:font w:name="楷体_GB2312">
    <w:panose1 w:val="02010609030101010101"/>
    <w:charset w:val="86"/>
    <w:family w:val="modern"/>
    <w:pitch w:val="default"/>
    <w:sig w:usb0="00000001" w:usb1="080E0000" w:usb2="00000000" w:usb3="00000000" w:csb0="00040000" w:csb1="00000000"/>
    <w:embedRegular r:id="rId5" w:fontKey="{F0FAB3B4-78E8-489E-9C6F-894DFAFED390}"/>
  </w:font>
  <w:font w:name="方正楷体_GB2312">
    <w:panose1 w:val="02000000000000000000"/>
    <w:charset w:val="86"/>
    <w:family w:val="auto"/>
    <w:pitch w:val="default"/>
    <w:sig w:usb0="A00002BF" w:usb1="184F6CFA" w:usb2="00000012" w:usb3="00000000" w:csb0="00040001" w:csb1="00000000"/>
    <w:embedRegular r:id="rId6" w:fontKey="{75360253-177C-48D9-A915-65FBEDBA9C9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4"/>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149E3C13"/>
    <w:rsid w:val="1E5B42CC"/>
    <w:rsid w:val="31AE73CB"/>
    <w:rsid w:val="34552A3E"/>
    <w:rsid w:val="3CA4110B"/>
    <w:rsid w:val="42862585"/>
    <w:rsid w:val="46524C1E"/>
    <w:rsid w:val="50D20D70"/>
    <w:rsid w:val="5C5D675C"/>
    <w:rsid w:val="5FC56FB5"/>
    <w:rsid w:val="610F4E1E"/>
    <w:rsid w:val="61A97973"/>
    <w:rsid w:val="61E3588B"/>
    <w:rsid w:val="6A822307"/>
    <w:rsid w:val="71BC0D00"/>
    <w:rsid w:val="75D01970"/>
    <w:rsid w:val="78B9233C"/>
    <w:rsid w:val="7929119F"/>
    <w:rsid w:val="7AC94869"/>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next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1598</Words>
  <Characters>1792</Characters>
  <Lines>6</Lines>
  <Paragraphs>1</Paragraphs>
  <TotalTime>10</TotalTime>
  <ScaleCrop>false</ScaleCrop>
  <LinksUpToDate>false</LinksUpToDate>
  <CharactersWithSpaces>1801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2020-10-20T02:35:00Z</cp:lastPrinted>
  <dcterms:modified xsi:type="dcterms:W3CDTF">2026-06-22T09:14:07Z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