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3DFAF">
      <w:pPr>
        <w:jc w:val="center"/>
        <w:rPr>
          <w:rFonts w:ascii="方正小标宋简体" w:hAnsi="黑体" w:eastAsia="方正小标宋简体"/>
          <w:b/>
          <w:sz w:val="44"/>
          <w:lang w:eastAsia="zh-CN"/>
        </w:rPr>
      </w:pPr>
      <w:r>
        <w:rPr>
          <w:rFonts w:hint="eastAsia" w:ascii="方正小标宋简体" w:hAnsi="黑体" w:eastAsia="方正小标宋简体"/>
          <w:b/>
          <w:sz w:val="44"/>
          <w:lang w:eastAsia="zh-CN"/>
        </w:rPr>
        <w:t>南宁市武鸣区中医医院</w:t>
      </w:r>
      <w:r>
        <w:rPr>
          <w:rFonts w:hint="eastAsia" w:ascii="方正小标宋简体" w:hAnsi="黑体" w:eastAsia="方正小标宋简体"/>
          <w:b/>
          <w:sz w:val="44"/>
          <w:lang w:eastAsia="zh-CN"/>
        </w:rPr>
        <w:br w:type="textWrapping"/>
      </w:r>
      <w:r>
        <w:rPr>
          <w:rFonts w:hint="eastAsia" w:ascii="方正小标宋简体" w:hAnsi="黑体" w:eastAsia="方正小标宋简体"/>
          <w:b/>
          <w:sz w:val="44"/>
          <w:lang w:eastAsia="zh-CN"/>
        </w:rPr>
        <w:br w:type="textWrapping"/>
      </w:r>
      <w:r>
        <w:rPr>
          <w:rFonts w:hint="eastAsia" w:ascii="方正小标宋简体" w:hAnsi="黑体" w:eastAsia="方正小标宋简体"/>
          <w:b/>
          <w:sz w:val="44"/>
          <w:lang w:eastAsia="zh-CN"/>
        </w:rPr>
        <w:t>DRG运营管理及医保智能审核系统</w:t>
      </w:r>
      <w:r>
        <w:rPr>
          <w:rFonts w:hint="eastAsia" w:ascii="方正小标宋简体" w:hAnsi="黑体" w:eastAsia="方正小标宋简体"/>
          <w:b/>
          <w:sz w:val="44"/>
          <w:lang w:eastAsia="zh-CN"/>
        </w:rPr>
        <w:br w:type="textWrapping"/>
      </w:r>
      <w:r>
        <w:rPr>
          <w:rFonts w:hint="eastAsia" w:ascii="方正小标宋简体" w:hAnsi="黑体" w:eastAsia="方正小标宋简体"/>
          <w:b/>
          <w:sz w:val="44"/>
          <w:lang w:eastAsia="zh-CN"/>
        </w:rPr>
        <w:t>维保服务采购需求</w:t>
      </w:r>
    </w:p>
    <w:p w14:paraId="5CF4AD79">
      <w:pPr>
        <w:jc w:val="center"/>
        <w:rPr>
          <w:rFonts w:hint="eastAsia" w:ascii="方正小标宋简体" w:hAnsi="黑体" w:eastAsia="方正小标宋简体"/>
          <w:b/>
          <w:sz w:val="44"/>
          <w:lang w:eastAsia="zh-CN"/>
        </w:rPr>
      </w:pPr>
    </w:p>
    <w:p w14:paraId="78FEE676">
      <w:pPr>
        <w:jc w:val="center"/>
        <w:rPr>
          <w:sz w:val="28"/>
          <w:szCs w:val="28"/>
          <w:lang w:eastAsia="zh-CN"/>
        </w:rPr>
      </w:pPr>
      <w:r>
        <w:rPr>
          <w:rFonts w:hint="eastAsia"/>
          <w:sz w:val="28"/>
          <w:szCs w:val="28"/>
          <w:lang w:eastAsia="zh-CN"/>
        </w:rPr>
        <w:t>系统名称：</w:t>
      </w:r>
      <w:r>
        <w:rPr>
          <w:sz w:val="28"/>
          <w:szCs w:val="28"/>
          <w:lang w:eastAsia="zh-CN"/>
        </w:rPr>
        <w:t xml:space="preserve"> DRG运营管理及医保智能审核系统</w:t>
      </w:r>
    </w:p>
    <w:p w14:paraId="67F29D6D">
      <w:pPr>
        <w:jc w:val="center"/>
        <w:rPr>
          <w:color w:val="000000" w:themeColor="text1"/>
          <w:lang w:eastAsia="zh-CN"/>
          <w14:textFill>
            <w14:solidFill>
              <w14:schemeClr w14:val="tx1"/>
            </w14:solidFill>
          </w14:textFill>
        </w:rPr>
      </w:pPr>
      <w:bookmarkStart w:id="0" w:name="_GoBack"/>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项目编号：NNZC2024-G3-100199-GSZX）</w:t>
      </w:r>
    </w:p>
    <w:p w14:paraId="5173659E">
      <w:pPr>
        <w:jc w:val="center"/>
        <w:rPr>
          <w:rFonts w:hint="eastAsia"/>
          <w:color w:val="000000" w:themeColor="text1"/>
          <w:sz w:val="28"/>
          <w:szCs w:val="28"/>
          <w:lang w:eastAsia="zh-CN"/>
          <w14:textFill>
            <w14:solidFill>
              <w14:schemeClr w14:val="tx1"/>
            </w14:solidFill>
          </w14:textFill>
        </w:rPr>
      </w:pPr>
      <w:r>
        <w:rPr>
          <w:rFonts w:hint="eastAsia"/>
          <w:color w:val="000000" w:themeColor="text1"/>
          <w:lang w:eastAsia="zh-CN"/>
          <w14:textFill>
            <w14:solidFill>
              <w14:schemeClr w14:val="tx1"/>
            </w14:solidFill>
          </w14:textFill>
        </w:rPr>
        <w:t>注：2</w:t>
      </w:r>
      <w:r>
        <w:rPr>
          <w:color w:val="000000" w:themeColor="text1"/>
          <w:lang w:eastAsia="zh-CN"/>
          <w14:textFill>
            <w14:solidFill>
              <w14:schemeClr w14:val="tx1"/>
            </w14:solidFill>
          </w14:textFill>
        </w:rPr>
        <w:t>024</w:t>
      </w:r>
      <w:r>
        <w:rPr>
          <w:rFonts w:hint="eastAsia"/>
          <w:color w:val="000000" w:themeColor="text1"/>
          <w:lang w:eastAsia="zh-CN"/>
          <w14:textFill>
            <w14:solidFill>
              <w14:schemeClr w14:val="tx1"/>
            </w14:solidFill>
          </w14:textFill>
        </w:rPr>
        <w:t>年采购项目</w:t>
      </w:r>
    </w:p>
    <w:bookmarkEnd w:id="0"/>
    <w:tbl>
      <w:tblPr>
        <w:tblStyle w:val="33"/>
        <w:tblW w:w="6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270"/>
        <w:gridCol w:w="4535"/>
      </w:tblGrid>
      <w:tr w14:paraId="2E88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270" w:type="dxa"/>
            <w:tcBorders>
              <w:top w:val="single" w:color="000000" w:sz="4" w:space="0"/>
              <w:left w:val="single" w:color="000000" w:sz="4" w:space="0"/>
              <w:bottom w:val="single" w:color="000000" w:sz="4" w:space="0"/>
              <w:right w:val="single" w:color="000000" w:sz="4" w:space="0"/>
            </w:tcBorders>
            <w:shd w:val="clear" w:color="auto" w:fill="auto"/>
            <w:vAlign w:val="top"/>
          </w:tcPr>
          <w:p w14:paraId="594DF7C9">
            <w:pPr>
              <w:keepNext w:val="0"/>
              <w:keepLines w:val="0"/>
              <w:widowControl/>
              <w:suppressLineNumbers w:val="0"/>
              <w:spacing w:before="0" w:beforeAutospacing="0" w:after="0" w:afterAutospacing="0" w:line="240" w:lineRule="auto"/>
              <w:ind w:left="0" w:right="0"/>
              <w:jc w:val="center"/>
              <w:rPr>
                <w:rFonts w:hint="eastAsia"/>
                <w:lang w:val="en-US"/>
              </w:rPr>
            </w:pPr>
            <w:r>
              <w:rPr>
                <w:rFonts w:hint="eastAsia" w:ascii="宋体" w:hAnsi="宋体" w:eastAsia="宋体" w:cs="Times New Roman"/>
                <w:b/>
                <w:bCs w:val="0"/>
                <w:kern w:val="0"/>
                <w:sz w:val="28"/>
                <w:szCs w:val="22"/>
                <w:lang w:val="en-US" w:eastAsia="zh-CN" w:bidi="ar"/>
              </w:rPr>
              <w:t>申请科室</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top"/>
          </w:tcPr>
          <w:p w14:paraId="3FAF2F5E">
            <w:pPr>
              <w:keepNext w:val="0"/>
              <w:keepLines w:val="0"/>
              <w:widowControl/>
              <w:suppressLineNumbers w:val="0"/>
              <w:spacing w:before="0" w:beforeAutospacing="0" w:after="0" w:afterAutospacing="0" w:line="240" w:lineRule="auto"/>
              <w:ind w:left="0" w:right="0"/>
              <w:jc w:val="center"/>
              <w:rPr>
                <w:rFonts w:hint="eastAsia"/>
                <w:lang w:val="en-US"/>
              </w:rPr>
            </w:pPr>
            <w:r>
              <w:rPr>
                <w:rFonts w:hint="eastAsia" w:ascii="宋体" w:hAnsi="宋体" w:eastAsia="宋体" w:cs="Times New Roman"/>
                <w:kern w:val="0"/>
                <w:sz w:val="28"/>
                <w:szCs w:val="22"/>
                <w:lang w:val="en-US" w:eastAsia="zh-CN" w:bidi="ar"/>
              </w:rPr>
              <w:t>医保科</w:t>
            </w:r>
          </w:p>
        </w:tc>
      </w:tr>
      <w:tr w14:paraId="779A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0" w:type="dxa"/>
            <w:tcBorders>
              <w:top w:val="single" w:color="000000" w:sz="4" w:space="0"/>
              <w:left w:val="single" w:color="000000" w:sz="4" w:space="0"/>
              <w:bottom w:val="single" w:color="000000" w:sz="4" w:space="0"/>
              <w:right w:val="single" w:color="000000" w:sz="4" w:space="0"/>
            </w:tcBorders>
            <w:shd w:val="clear" w:color="auto" w:fill="auto"/>
            <w:vAlign w:val="top"/>
          </w:tcPr>
          <w:p w14:paraId="29A37FCB">
            <w:pPr>
              <w:keepNext w:val="0"/>
              <w:keepLines w:val="0"/>
              <w:widowControl/>
              <w:suppressLineNumbers w:val="0"/>
              <w:spacing w:before="0" w:beforeAutospacing="0" w:after="0" w:afterAutospacing="0" w:line="240" w:lineRule="auto"/>
              <w:ind w:left="0" w:right="0"/>
              <w:jc w:val="center"/>
              <w:rPr>
                <w:rFonts w:hint="eastAsia"/>
                <w:lang w:val="en-US"/>
              </w:rPr>
            </w:pPr>
            <w:r>
              <w:rPr>
                <w:rFonts w:hint="eastAsia" w:ascii="宋体" w:hAnsi="宋体" w:eastAsia="宋体" w:cs="Times New Roman"/>
                <w:b/>
                <w:bCs w:val="0"/>
                <w:kern w:val="0"/>
                <w:sz w:val="28"/>
                <w:szCs w:val="22"/>
                <w:lang w:val="en-US" w:eastAsia="zh-CN" w:bidi="ar"/>
              </w:rPr>
              <w:t>归口管理科室</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top"/>
          </w:tcPr>
          <w:p w14:paraId="4317108E">
            <w:pPr>
              <w:keepNext w:val="0"/>
              <w:keepLines w:val="0"/>
              <w:widowControl/>
              <w:suppressLineNumbers w:val="0"/>
              <w:spacing w:before="0" w:beforeAutospacing="0" w:after="0" w:afterAutospacing="0" w:line="240" w:lineRule="auto"/>
              <w:ind w:left="0" w:right="0"/>
              <w:jc w:val="center"/>
              <w:rPr>
                <w:rFonts w:hint="eastAsia"/>
                <w:lang w:val="en-US"/>
              </w:rPr>
            </w:pPr>
            <w:r>
              <w:rPr>
                <w:rFonts w:hint="eastAsia" w:ascii="宋体" w:hAnsi="宋体" w:eastAsia="宋体" w:cs="Times New Roman"/>
                <w:kern w:val="0"/>
                <w:sz w:val="28"/>
                <w:szCs w:val="22"/>
                <w:lang w:val="en-US" w:eastAsia="zh-CN" w:bidi="ar"/>
              </w:rPr>
              <w:t>信息科</w:t>
            </w:r>
          </w:p>
        </w:tc>
      </w:tr>
      <w:tr w14:paraId="1D51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0" w:type="dxa"/>
            <w:tcBorders>
              <w:top w:val="single" w:color="000000" w:sz="4" w:space="0"/>
              <w:left w:val="single" w:color="000000" w:sz="4" w:space="0"/>
              <w:bottom w:val="single" w:color="000000" w:sz="4" w:space="0"/>
              <w:right w:val="single" w:color="000000" w:sz="4" w:space="0"/>
            </w:tcBorders>
            <w:shd w:val="clear" w:color="auto" w:fill="auto"/>
            <w:vAlign w:val="top"/>
          </w:tcPr>
          <w:p w14:paraId="602F341F">
            <w:pPr>
              <w:keepNext w:val="0"/>
              <w:keepLines w:val="0"/>
              <w:widowControl/>
              <w:suppressLineNumbers w:val="0"/>
              <w:spacing w:before="0" w:beforeAutospacing="0" w:after="0" w:afterAutospacing="0" w:line="240" w:lineRule="auto"/>
              <w:ind w:left="0" w:right="0"/>
              <w:jc w:val="center"/>
              <w:rPr>
                <w:rFonts w:hint="eastAsia"/>
                <w:lang w:val="en-US"/>
              </w:rPr>
            </w:pPr>
            <w:r>
              <w:rPr>
                <w:rFonts w:hint="eastAsia" w:ascii="宋体" w:hAnsi="宋体" w:eastAsia="宋体" w:cs="Times New Roman"/>
                <w:b/>
                <w:bCs w:val="0"/>
                <w:kern w:val="0"/>
                <w:sz w:val="28"/>
                <w:szCs w:val="22"/>
                <w:lang w:val="en-US" w:eastAsia="zh-CN" w:bidi="ar"/>
              </w:rPr>
              <w:t>申请时间</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top"/>
          </w:tcPr>
          <w:p w14:paraId="2AD04850">
            <w:pPr>
              <w:keepNext w:val="0"/>
              <w:keepLines w:val="0"/>
              <w:widowControl/>
              <w:suppressLineNumbers w:val="0"/>
              <w:spacing w:before="0" w:beforeAutospacing="0" w:after="0" w:afterAutospacing="0" w:line="240" w:lineRule="auto"/>
              <w:ind w:left="0" w:right="0"/>
              <w:jc w:val="center"/>
              <w:rPr>
                <w:rFonts w:hint="eastAsia"/>
                <w:lang w:val="en-US"/>
              </w:rPr>
            </w:pPr>
            <w:r>
              <w:rPr>
                <w:rFonts w:hint="eastAsia" w:ascii="宋体" w:hAnsi="宋体" w:eastAsia="宋体" w:cs="Times New Roman"/>
                <w:kern w:val="0"/>
                <w:sz w:val="28"/>
                <w:szCs w:val="22"/>
                <w:lang w:val="en-US" w:eastAsia="zh-CN" w:bidi="ar"/>
              </w:rPr>
              <w:t xml:space="preserve">        年        月        日</w:t>
            </w:r>
          </w:p>
        </w:tc>
      </w:tr>
      <w:tr w14:paraId="6C79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0" w:type="dxa"/>
            <w:tcBorders>
              <w:top w:val="single" w:color="000000" w:sz="4" w:space="0"/>
              <w:left w:val="single" w:color="000000" w:sz="4" w:space="0"/>
              <w:bottom w:val="single" w:color="000000" w:sz="4" w:space="0"/>
              <w:right w:val="single" w:color="000000" w:sz="4" w:space="0"/>
            </w:tcBorders>
            <w:shd w:val="clear" w:color="auto" w:fill="auto"/>
            <w:vAlign w:val="top"/>
          </w:tcPr>
          <w:p w14:paraId="3FA91C8E">
            <w:pPr>
              <w:keepNext w:val="0"/>
              <w:keepLines w:val="0"/>
              <w:widowControl/>
              <w:suppressLineNumbers w:val="0"/>
              <w:spacing w:before="0" w:beforeAutospacing="0" w:after="0" w:afterAutospacing="0" w:line="240" w:lineRule="auto"/>
              <w:ind w:left="0" w:right="0"/>
              <w:jc w:val="center"/>
              <w:rPr>
                <w:rFonts w:hint="eastAsia"/>
                <w:lang w:val="en-US"/>
              </w:rPr>
            </w:pPr>
            <w:r>
              <w:rPr>
                <w:rFonts w:hint="eastAsia" w:ascii="宋体" w:hAnsi="宋体" w:eastAsia="宋体" w:cs="Times New Roman"/>
                <w:b/>
                <w:bCs w:val="0"/>
                <w:kern w:val="0"/>
                <w:sz w:val="28"/>
                <w:szCs w:val="22"/>
                <w:lang w:val="en-US" w:eastAsia="zh-CN" w:bidi="ar"/>
              </w:rPr>
              <w:t>预算金额</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top"/>
          </w:tcPr>
          <w:p w14:paraId="30A2801E">
            <w:pPr>
              <w:keepNext w:val="0"/>
              <w:keepLines w:val="0"/>
              <w:widowControl/>
              <w:suppressLineNumbers w:val="0"/>
              <w:spacing w:before="0" w:beforeAutospacing="0" w:after="0" w:afterAutospacing="0" w:line="240" w:lineRule="auto"/>
              <w:ind w:left="0" w:right="0"/>
              <w:jc w:val="center"/>
              <w:rPr>
                <w:rFonts w:hint="eastAsia"/>
                <w:lang w:val="en-US"/>
              </w:rPr>
            </w:pPr>
            <w:r>
              <w:rPr>
                <w:rFonts w:hint="eastAsia" w:ascii="宋体" w:hAnsi="宋体" w:eastAsia="宋体" w:cs="Times New Roman"/>
                <w:kern w:val="0"/>
                <w:sz w:val="28"/>
                <w:szCs w:val="22"/>
                <w:lang w:val="en-US" w:eastAsia="zh-CN" w:bidi="ar"/>
              </w:rPr>
              <w:t>人民币 76,000.00元/年</w:t>
            </w:r>
          </w:p>
        </w:tc>
      </w:tr>
    </w:tbl>
    <w:p w14:paraId="7849E046">
      <w:pPr>
        <w:jc w:val="center"/>
        <w:rPr>
          <w:rFonts w:ascii="方正小标宋简体" w:eastAsia="方正小标宋简体"/>
          <w:lang w:eastAsia="zh-CN"/>
        </w:rPr>
      </w:pPr>
    </w:p>
    <w:tbl>
      <w:tblPr>
        <w:tblStyle w:val="33"/>
        <w:tblW w:w="6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270"/>
        <w:gridCol w:w="4535"/>
      </w:tblGrid>
      <w:tr w14:paraId="0DFB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0" w:hRule="atLeast"/>
          <w:jc w:val="center"/>
        </w:trPr>
        <w:tc>
          <w:tcPr>
            <w:tcW w:w="2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D788">
            <w:pPr>
              <w:keepNext w:val="0"/>
              <w:keepLines w:val="0"/>
              <w:widowControl/>
              <w:suppressLineNumbers w:val="0"/>
              <w:spacing w:before="0" w:beforeAutospacing="0" w:after="0" w:afterAutospacing="0" w:line="240" w:lineRule="auto"/>
              <w:ind w:left="0" w:right="0"/>
              <w:jc w:val="center"/>
              <w:rPr>
                <w:rFonts w:hint="eastAsia"/>
                <w:lang w:val="en-US"/>
              </w:rPr>
            </w:pPr>
            <w:r>
              <w:rPr>
                <w:rFonts w:hint="eastAsia" w:ascii="宋体" w:hAnsi="宋体" w:eastAsia="宋体" w:cs="Times New Roman"/>
                <w:b/>
                <w:bCs w:val="0"/>
                <w:kern w:val="0"/>
                <w:sz w:val="24"/>
                <w:szCs w:val="22"/>
                <w:lang w:val="en-US" w:eastAsia="zh-CN" w:bidi="ar"/>
              </w:rPr>
              <w:t>申请人签字</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0D6CC">
            <w:pPr>
              <w:keepNext w:val="0"/>
              <w:keepLines w:val="0"/>
              <w:widowControl/>
              <w:suppressLineNumbers w:val="0"/>
              <w:spacing w:before="0" w:beforeAutospacing="0" w:after="0" w:afterAutospacing="0" w:line="240" w:lineRule="auto"/>
              <w:ind w:left="0" w:right="0"/>
              <w:jc w:val="center"/>
              <w:rPr>
                <w:rFonts w:hint="eastAsia"/>
                <w:lang w:val="en-US"/>
              </w:rPr>
            </w:pPr>
          </w:p>
        </w:tc>
      </w:tr>
      <w:tr w14:paraId="3B05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2A3D7">
            <w:pPr>
              <w:keepNext w:val="0"/>
              <w:keepLines w:val="0"/>
              <w:widowControl/>
              <w:suppressLineNumbers w:val="0"/>
              <w:spacing w:before="0" w:beforeAutospacing="0" w:after="0" w:afterAutospacing="0" w:line="240" w:lineRule="auto"/>
              <w:ind w:left="0" w:right="0"/>
              <w:jc w:val="center"/>
              <w:rPr>
                <w:rFonts w:hint="eastAsia"/>
                <w:lang w:val="en-US"/>
              </w:rPr>
            </w:pPr>
            <w:r>
              <w:rPr>
                <w:rFonts w:hint="eastAsia" w:ascii="宋体" w:hAnsi="宋体" w:eastAsia="宋体" w:cs="Times New Roman"/>
                <w:b/>
                <w:bCs w:val="0"/>
                <w:kern w:val="0"/>
                <w:sz w:val="24"/>
                <w:szCs w:val="22"/>
                <w:lang w:val="en-US" w:eastAsia="zh-CN" w:bidi="ar"/>
              </w:rPr>
              <w:t>科室负责人签字</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FD47">
            <w:pPr>
              <w:keepNext w:val="0"/>
              <w:keepLines w:val="0"/>
              <w:widowControl/>
              <w:suppressLineNumbers w:val="0"/>
              <w:spacing w:before="0" w:beforeAutospacing="0" w:after="0" w:afterAutospacing="0" w:line="240" w:lineRule="auto"/>
              <w:ind w:left="0" w:right="0"/>
              <w:jc w:val="center"/>
              <w:rPr>
                <w:rFonts w:hint="eastAsia"/>
                <w:lang w:val="en-US"/>
              </w:rPr>
            </w:pPr>
          </w:p>
        </w:tc>
      </w:tr>
      <w:tr w14:paraId="02B2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0D17">
            <w:pPr>
              <w:keepNext w:val="0"/>
              <w:keepLines w:val="0"/>
              <w:widowControl/>
              <w:suppressLineNumbers w:val="0"/>
              <w:spacing w:before="0" w:beforeAutospacing="0" w:after="0" w:afterAutospacing="0" w:line="240" w:lineRule="auto"/>
              <w:ind w:left="0" w:right="0"/>
              <w:jc w:val="center"/>
              <w:rPr>
                <w:rFonts w:hint="eastAsia"/>
                <w:lang w:val="en-US"/>
              </w:rPr>
            </w:pPr>
            <w:r>
              <w:rPr>
                <w:rFonts w:hint="eastAsia" w:ascii="宋体" w:hAnsi="宋体" w:eastAsia="宋体" w:cs="Times New Roman"/>
                <w:b/>
                <w:bCs w:val="0"/>
                <w:kern w:val="0"/>
                <w:sz w:val="24"/>
                <w:szCs w:val="22"/>
                <w:lang w:val="en-US" w:eastAsia="zh-CN" w:bidi="ar"/>
              </w:rPr>
              <w:t>归口管理科室</w:t>
            </w:r>
            <w:r>
              <w:rPr>
                <w:rFonts w:hint="eastAsia" w:ascii="宋体" w:hAnsi="宋体" w:eastAsia="宋体" w:cs="Times New Roman"/>
                <w:b/>
                <w:bCs w:val="0"/>
                <w:kern w:val="0"/>
                <w:sz w:val="24"/>
                <w:szCs w:val="22"/>
                <w:lang w:val="en-US" w:eastAsia="zh-CN" w:bidi="ar"/>
              </w:rPr>
              <w:br w:type="textWrapping"/>
            </w:r>
            <w:r>
              <w:rPr>
                <w:rFonts w:hint="eastAsia" w:ascii="宋体" w:hAnsi="宋体" w:eastAsia="宋体" w:cs="Times New Roman"/>
                <w:b/>
                <w:bCs w:val="0"/>
                <w:kern w:val="0"/>
                <w:sz w:val="24"/>
                <w:szCs w:val="22"/>
                <w:lang w:val="en-US" w:eastAsia="zh-CN" w:bidi="ar"/>
              </w:rPr>
              <w:t>（信息科）意见</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8D2B">
            <w:pPr>
              <w:keepNext w:val="0"/>
              <w:keepLines w:val="0"/>
              <w:widowControl/>
              <w:suppressLineNumbers w:val="0"/>
              <w:spacing w:before="0" w:beforeAutospacing="0" w:after="0" w:afterAutospacing="0" w:line="240" w:lineRule="auto"/>
              <w:ind w:left="0" w:right="0"/>
              <w:jc w:val="center"/>
              <w:rPr>
                <w:rFonts w:hint="eastAsia" w:ascii="宋体" w:hAnsi="宋体" w:eastAsia="宋体" w:cs="Times New Roman"/>
                <w:kern w:val="0"/>
                <w:sz w:val="24"/>
                <w:szCs w:val="22"/>
                <w:lang w:val="en-US" w:eastAsia="zh-CN" w:bidi="ar"/>
              </w:rPr>
            </w:pPr>
          </w:p>
          <w:p w14:paraId="2C02EE69">
            <w:pPr>
              <w:keepNext w:val="0"/>
              <w:keepLines w:val="0"/>
              <w:widowControl/>
              <w:suppressLineNumbers w:val="0"/>
              <w:spacing w:before="0" w:beforeAutospacing="0" w:after="0" w:afterAutospacing="0" w:line="240" w:lineRule="auto"/>
              <w:ind w:left="0" w:right="0"/>
              <w:jc w:val="center"/>
              <w:rPr>
                <w:rFonts w:hint="eastAsia" w:ascii="宋体" w:hAnsi="宋体" w:eastAsia="宋体" w:cs="Times New Roman"/>
                <w:kern w:val="0"/>
                <w:sz w:val="24"/>
                <w:szCs w:val="22"/>
                <w:lang w:val="en-US" w:eastAsia="zh-CN" w:bidi="ar"/>
              </w:rPr>
            </w:pPr>
            <w:r>
              <w:rPr>
                <w:rFonts w:hint="eastAsia" w:ascii="宋体" w:hAnsi="宋体" w:eastAsia="宋体" w:cs="Times New Roman"/>
                <w:kern w:val="0"/>
                <w:sz w:val="24"/>
                <w:szCs w:val="22"/>
                <w:lang w:val="en-US" w:eastAsia="zh-CN" w:bidi="ar"/>
              </w:rPr>
              <w:t>签名：</w:t>
            </w:r>
          </w:p>
          <w:p w14:paraId="215438F5">
            <w:pPr>
              <w:keepNext w:val="0"/>
              <w:keepLines w:val="0"/>
              <w:widowControl/>
              <w:suppressLineNumbers w:val="0"/>
              <w:spacing w:before="0" w:beforeAutospacing="0" w:after="0" w:afterAutospacing="0" w:line="240" w:lineRule="auto"/>
              <w:ind w:left="0" w:right="0"/>
              <w:jc w:val="center"/>
              <w:rPr>
                <w:rFonts w:hint="eastAsia" w:ascii="宋体" w:hAnsi="宋体" w:eastAsia="宋体" w:cs="Times New Roman"/>
                <w:kern w:val="0"/>
                <w:sz w:val="24"/>
                <w:szCs w:val="22"/>
                <w:lang w:val="en-US" w:eastAsia="zh-CN" w:bidi="ar"/>
              </w:rPr>
            </w:pPr>
          </w:p>
          <w:p w14:paraId="5E211958">
            <w:pPr>
              <w:keepNext w:val="0"/>
              <w:keepLines w:val="0"/>
              <w:widowControl/>
              <w:suppressLineNumbers w:val="0"/>
              <w:spacing w:before="0" w:beforeAutospacing="0" w:after="0" w:afterAutospacing="0" w:line="240" w:lineRule="auto"/>
              <w:ind w:left="0" w:right="0"/>
              <w:jc w:val="center"/>
              <w:rPr>
                <w:rFonts w:hint="eastAsia"/>
                <w:lang w:val="en-US"/>
              </w:rPr>
            </w:pPr>
            <w:r>
              <w:rPr>
                <w:rFonts w:hint="eastAsia" w:ascii="宋体" w:hAnsi="宋体" w:eastAsia="宋体" w:cs="Times New Roman"/>
                <w:kern w:val="0"/>
                <w:sz w:val="24"/>
                <w:szCs w:val="22"/>
                <w:lang w:val="en-US" w:eastAsia="zh-CN" w:bidi="ar"/>
              </w:rPr>
              <w:t>年    月    日</w:t>
            </w:r>
          </w:p>
        </w:tc>
      </w:tr>
    </w:tbl>
    <w:p w14:paraId="171893A7">
      <w:pPr>
        <w:jc w:val="center"/>
        <w:rPr>
          <w:rFonts w:hint="eastAsia" w:ascii="方正小标宋简体" w:eastAsia="方正小标宋简体"/>
          <w:lang w:eastAsia="zh-CN"/>
        </w:rPr>
      </w:pPr>
    </w:p>
    <w:p w14:paraId="3717E3DD">
      <w:pPr>
        <w:jc w:val="center"/>
        <w:rPr>
          <w:rFonts w:hint="eastAsia"/>
          <w:sz w:val="28"/>
          <w:szCs w:val="28"/>
          <w:lang w:eastAsia="zh-CN"/>
        </w:rPr>
      </w:pPr>
      <w:r>
        <w:rPr>
          <w:rFonts w:hint="eastAsia"/>
          <w:sz w:val="28"/>
          <w:szCs w:val="28"/>
          <w:lang w:eastAsia="zh-CN"/>
        </w:rPr>
        <w:t>制表时间</w:t>
      </w:r>
      <w:r>
        <w:rPr>
          <w:rFonts w:hint="eastAsia"/>
          <w:sz w:val="28"/>
          <w:szCs w:val="28"/>
          <w:u w:val="single"/>
          <w:lang w:eastAsia="zh-CN"/>
        </w:rPr>
        <w:t xml:space="preserve"> </w:t>
      </w:r>
      <w:r>
        <w:rPr>
          <w:sz w:val="28"/>
          <w:szCs w:val="28"/>
          <w:u w:val="single"/>
          <w:lang w:eastAsia="zh-CN"/>
        </w:rPr>
        <w:t>2026</w:t>
      </w:r>
      <w:r>
        <w:rPr>
          <w:rFonts w:hint="eastAsia"/>
          <w:sz w:val="28"/>
          <w:szCs w:val="28"/>
          <w:u w:val="single"/>
          <w:lang w:eastAsia="zh-CN"/>
        </w:rPr>
        <w:t xml:space="preserve"> </w:t>
      </w:r>
      <w:r>
        <w:rPr>
          <w:rFonts w:hint="eastAsia"/>
          <w:sz w:val="28"/>
          <w:szCs w:val="28"/>
          <w:lang w:eastAsia="zh-CN"/>
        </w:rPr>
        <w:t>年</w:t>
      </w:r>
      <w:r>
        <w:rPr>
          <w:rFonts w:hint="eastAsia"/>
          <w:sz w:val="28"/>
          <w:szCs w:val="28"/>
          <w:u w:val="single"/>
          <w:lang w:eastAsia="zh-CN"/>
        </w:rPr>
        <w:t xml:space="preserve">  </w:t>
      </w:r>
      <w:r>
        <w:rPr>
          <w:sz w:val="28"/>
          <w:szCs w:val="28"/>
          <w:u w:val="single"/>
          <w:lang w:eastAsia="zh-CN"/>
        </w:rPr>
        <w:t xml:space="preserve"> </w:t>
      </w:r>
      <w:r>
        <w:rPr>
          <w:rFonts w:hint="eastAsia"/>
          <w:sz w:val="28"/>
          <w:szCs w:val="28"/>
          <w:u w:val="single"/>
          <w:lang w:eastAsia="zh-CN"/>
        </w:rPr>
        <w:t xml:space="preserve">  </w:t>
      </w:r>
      <w:r>
        <w:rPr>
          <w:rFonts w:hint="eastAsia"/>
          <w:sz w:val="28"/>
          <w:szCs w:val="28"/>
          <w:lang w:eastAsia="zh-CN"/>
        </w:rPr>
        <w:t>月</w:t>
      </w:r>
      <w:r>
        <w:rPr>
          <w:rFonts w:hint="eastAsia"/>
          <w:sz w:val="28"/>
          <w:szCs w:val="28"/>
          <w:u w:val="single"/>
          <w:lang w:eastAsia="zh-CN"/>
        </w:rPr>
        <w:t xml:space="preserve"> </w:t>
      </w:r>
      <w:r>
        <w:rPr>
          <w:sz w:val="28"/>
          <w:szCs w:val="28"/>
          <w:u w:val="single"/>
          <w:lang w:eastAsia="zh-CN"/>
        </w:rPr>
        <w:t xml:space="preserve">   </w:t>
      </w:r>
      <w:r>
        <w:rPr>
          <w:rFonts w:hint="eastAsia"/>
          <w:sz w:val="28"/>
          <w:szCs w:val="28"/>
          <w:u w:val="single"/>
          <w:lang w:eastAsia="zh-CN"/>
        </w:rPr>
        <w:t xml:space="preserve"> </w:t>
      </w:r>
      <w:r>
        <w:rPr>
          <w:rFonts w:hint="eastAsia"/>
          <w:sz w:val="28"/>
          <w:szCs w:val="28"/>
          <w:lang w:eastAsia="zh-CN"/>
        </w:rPr>
        <w:t>日</w:t>
      </w:r>
    </w:p>
    <w:p w14:paraId="7F5A92F6">
      <w:pPr>
        <w:jc w:val="center"/>
        <w:rPr>
          <w:bCs/>
          <w:sz w:val="28"/>
          <w:szCs w:val="28"/>
          <w:lang w:eastAsia="zh-CN"/>
        </w:rPr>
      </w:pPr>
      <w:r>
        <w:rPr>
          <w:rFonts w:hint="eastAsia"/>
          <w:bCs/>
          <w:sz w:val="28"/>
          <w:szCs w:val="28"/>
          <w:lang w:eastAsia="zh-CN"/>
        </w:rPr>
        <w:t>制表人：南宁市武鸣区中医医院 信息科</w:t>
      </w:r>
    </w:p>
    <w:p w14:paraId="4400ADF2">
      <w:pPr>
        <w:jc w:val="center"/>
        <w:rPr>
          <w:rFonts w:hint="eastAsia"/>
          <w:bCs/>
          <w:sz w:val="28"/>
          <w:szCs w:val="28"/>
          <w:lang w:eastAsia="zh-CN"/>
        </w:rPr>
      </w:pPr>
    </w:p>
    <w:p w14:paraId="35DC8CF8">
      <w:pPr>
        <w:jc w:val="center"/>
        <w:rPr>
          <w:rFonts w:hint="eastAsia" w:ascii="方正小标宋简体" w:eastAsia="方正小标宋简体"/>
          <w:sz w:val="44"/>
          <w:szCs w:val="44"/>
          <w:lang w:eastAsia="zh-CN"/>
        </w:rPr>
      </w:pPr>
      <w:r>
        <w:rPr>
          <w:rFonts w:hint="eastAsia" w:ascii="方正小标宋简体" w:hAnsi="黑体" w:eastAsia="方正小标宋简体"/>
          <w:b/>
          <w:sz w:val="44"/>
          <w:szCs w:val="44"/>
          <w:lang w:eastAsia="zh-CN"/>
        </w:rPr>
        <w:t>DRG运营管理及医保智能审核系统维保服务采购需求</w:t>
      </w:r>
    </w:p>
    <w:p w14:paraId="77A18FA6">
      <w:pPr>
        <w:rPr>
          <w:lang w:eastAsia="zh-CN"/>
        </w:rPr>
      </w:pPr>
      <w:r>
        <w:rPr>
          <w:rFonts w:ascii="黑体" w:hAnsi="黑体" w:eastAsia="黑体"/>
          <w:b/>
          <w:sz w:val="28"/>
          <w:lang w:eastAsia="zh-CN"/>
        </w:rPr>
        <w:t>一、项目概述</w:t>
      </w:r>
    </w:p>
    <w:p w14:paraId="10CADE81">
      <w:pPr>
        <w:ind w:firstLine="480" w:firstLineChars="200"/>
        <w:rPr>
          <w:lang w:eastAsia="zh-CN"/>
        </w:rPr>
      </w:pPr>
      <w:r>
        <w:rPr>
          <w:lang w:eastAsia="zh-CN"/>
        </w:rPr>
        <w:t>根据医院医保管理工作需要，本次采购旨在为南宁市武鸣区中医医院DRG运营管理及医保智能审核系统提供专业化维保服务。医院医保科负责日常业务操作、数据上报及规则应用等基础运营工作，信息科负责系统技术对接及日常监控。本次采购重点引入外部技术支撑力量，承担系统规则库更新、功能维护、应急响应处置及技术兜底服务，形成"内部运营+外部支撑"的协同机制。</w:t>
      </w:r>
    </w:p>
    <w:p w14:paraId="37404742">
      <w:pPr>
        <w:rPr>
          <w:lang w:eastAsia="zh-CN"/>
        </w:rPr>
      </w:pPr>
      <w:r>
        <w:rPr>
          <w:lang w:eastAsia="zh-CN"/>
        </w:rPr>
        <w:t>本次维保服务期限：</w:t>
      </w:r>
      <w:r>
        <w:rPr>
          <w:b/>
          <w:bCs/>
          <w:lang w:eastAsia="zh-CN"/>
        </w:rPr>
        <w:t>12个月</w:t>
      </w:r>
      <w:r>
        <w:rPr>
          <w:lang w:eastAsia="zh-CN"/>
        </w:rPr>
        <w:t>。服务范围涵盖中医医院本部及东鸣路社区卫生服务中心。其中，中医医院本部部署三大核心软件模块及配套硬件服务器，东鸣路社区卫生服务中心部署独立软件系统一套；两院区的HIS系统为同一厂商系统，数据接口标准一致。</w:t>
      </w:r>
    </w:p>
    <w:p w14:paraId="6FE47601">
      <w:pPr>
        <w:rPr>
          <w:lang w:eastAsia="zh-CN"/>
        </w:rPr>
      </w:pPr>
      <w:r>
        <w:rPr>
          <w:rFonts w:ascii="黑体" w:hAnsi="黑体" w:eastAsia="黑体"/>
          <w:b/>
          <w:sz w:val="28"/>
          <w:lang w:eastAsia="zh-CN"/>
        </w:rPr>
        <w:t>二、服务内容及要求</w:t>
      </w:r>
    </w:p>
    <w:p w14:paraId="16972EB3">
      <w:pPr>
        <w:rPr>
          <w:lang w:eastAsia="zh-CN"/>
        </w:rPr>
      </w:pPr>
      <w:r>
        <w:rPr>
          <w:rFonts w:ascii="黑体" w:hAnsi="黑体" w:eastAsia="黑体"/>
          <w:b/>
          <w:lang w:eastAsia="zh-CN"/>
        </w:rPr>
        <w:t>（一）维保系统清单</w:t>
      </w:r>
    </w:p>
    <w:p w14:paraId="568D3BCC">
      <w:pPr>
        <w:rPr>
          <w:b/>
          <w:lang w:eastAsia="zh-CN"/>
        </w:rPr>
      </w:pPr>
      <w:r>
        <w:rPr>
          <w:b/>
          <w:lang w:eastAsia="zh-CN"/>
        </w:rPr>
        <w:t>▲注：本清单由甲乙双方在合同签订前共同确认签章，作为合同不可分割部分。服务期内新增功能模块，乙方须按不高于本合同单价提供同等维保服务。</w:t>
      </w:r>
    </w:p>
    <w:tbl>
      <w:tblPr>
        <w:tblStyle w:val="3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01"/>
        <w:gridCol w:w="3260"/>
        <w:gridCol w:w="1985"/>
        <w:gridCol w:w="985"/>
      </w:tblGrid>
      <w:tr w14:paraId="6C391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14:paraId="6433270C">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序号</w:t>
            </w:r>
          </w:p>
        </w:tc>
        <w:tc>
          <w:tcPr>
            <w:tcW w:w="1701" w:type="dxa"/>
          </w:tcPr>
          <w:p w14:paraId="62D6C9FD">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系统类别</w:t>
            </w:r>
          </w:p>
        </w:tc>
        <w:tc>
          <w:tcPr>
            <w:tcW w:w="3260" w:type="dxa"/>
          </w:tcPr>
          <w:p w14:paraId="128A2826">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系统名称/功能模块</w:t>
            </w:r>
          </w:p>
        </w:tc>
        <w:tc>
          <w:tcPr>
            <w:tcW w:w="1985" w:type="dxa"/>
          </w:tcPr>
          <w:p w14:paraId="257BE76C">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部署范围</w:t>
            </w:r>
          </w:p>
        </w:tc>
        <w:tc>
          <w:tcPr>
            <w:tcW w:w="985" w:type="dxa"/>
          </w:tcPr>
          <w:p w14:paraId="28739F72">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数量</w:t>
            </w:r>
          </w:p>
        </w:tc>
      </w:tr>
      <w:tr w14:paraId="129B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vAlign w:val="center"/>
          </w:tcPr>
          <w:p w14:paraId="39205274">
            <w:pPr>
              <w:keepNext w:val="0"/>
              <w:keepLines w:val="0"/>
              <w:widowControl/>
              <w:suppressLineNumbers w:val="0"/>
              <w:spacing w:before="0" w:beforeAutospacing="0" w:after="0" w:afterAutospacing="0" w:line="240" w:lineRule="auto"/>
              <w:ind w:left="0" w:right="0"/>
              <w:jc w:val="center"/>
              <w:rPr>
                <w:rFonts w:hint="eastAsia"/>
              </w:rPr>
            </w:pPr>
            <w:r>
              <w:rPr>
                <w:rFonts w:hint="eastAsia"/>
              </w:rPr>
              <w:t>1</w:t>
            </w:r>
          </w:p>
        </w:tc>
        <w:tc>
          <w:tcPr>
            <w:tcW w:w="1701" w:type="dxa"/>
            <w:vMerge w:val="restart"/>
            <w:vAlign w:val="center"/>
          </w:tcPr>
          <w:p w14:paraId="7CAAD080">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医保结算清单质控系统</w:t>
            </w:r>
          </w:p>
        </w:tc>
        <w:tc>
          <w:tcPr>
            <w:tcW w:w="3260" w:type="dxa"/>
            <w:vAlign w:val="center"/>
          </w:tcPr>
          <w:p w14:paraId="66825F9B">
            <w:pPr>
              <w:keepNext w:val="0"/>
              <w:keepLines w:val="0"/>
              <w:widowControl/>
              <w:suppressLineNumbers w:val="0"/>
              <w:spacing w:before="0" w:beforeAutospacing="0" w:after="0" w:afterAutospacing="0" w:line="240" w:lineRule="auto"/>
              <w:ind w:left="0" w:right="0"/>
              <w:jc w:val="center"/>
              <w:rPr>
                <w:rFonts w:hint="eastAsia"/>
              </w:rPr>
            </w:pPr>
            <w:r>
              <w:rPr>
                <w:rFonts w:hint="eastAsia"/>
              </w:rPr>
              <w:t>病案首页校验</w:t>
            </w:r>
          </w:p>
        </w:tc>
        <w:tc>
          <w:tcPr>
            <w:tcW w:w="1985" w:type="dxa"/>
            <w:vMerge w:val="restart"/>
            <w:vAlign w:val="center"/>
          </w:tcPr>
          <w:p w14:paraId="7B39B0FC">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中医医院本部、东鸣路社区</w:t>
            </w:r>
          </w:p>
        </w:tc>
        <w:tc>
          <w:tcPr>
            <w:tcW w:w="985" w:type="dxa"/>
            <w:vMerge w:val="restart"/>
            <w:vAlign w:val="center"/>
          </w:tcPr>
          <w:p w14:paraId="34504A1A">
            <w:pPr>
              <w:keepNext w:val="0"/>
              <w:keepLines w:val="0"/>
              <w:widowControl/>
              <w:suppressLineNumbers w:val="0"/>
              <w:spacing w:before="0" w:beforeAutospacing="0" w:after="0" w:afterAutospacing="0" w:line="240" w:lineRule="auto"/>
              <w:ind w:left="0" w:right="0"/>
              <w:jc w:val="center"/>
              <w:rPr>
                <w:rFonts w:hint="eastAsia"/>
              </w:rPr>
            </w:pPr>
            <w:r>
              <w:rPr>
                <w:rFonts w:hint="eastAsia"/>
              </w:rPr>
              <w:t>2套</w:t>
            </w:r>
          </w:p>
          <w:p w14:paraId="455E1E21">
            <w:pPr>
              <w:keepNext w:val="0"/>
              <w:keepLines w:val="0"/>
              <w:widowControl/>
              <w:suppressLineNumbers w:val="0"/>
              <w:spacing w:before="0" w:beforeAutospacing="0" w:after="0" w:afterAutospacing="0" w:line="240" w:lineRule="auto"/>
              <w:ind w:left="0" w:right="0"/>
              <w:jc w:val="center"/>
              <w:rPr>
                <w:rFonts w:hint="eastAsia"/>
              </w:rPr>
            </w:pPr>
          </w:p>
        </w:tc>
      </w:tr>
      <w:tr w14:paraId="57D0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5587DE51">
            <w:pPr>
              <w:keepNext w:val="0"/>
              <w:keepLines w:val="0"/>
              <w:widowControl/>
              <w:suppressLineNumbers w:val="0"/>
              <w:spacing w:before="0" w:beforeAutospacing="0" w:after="0" w:afterAutospacing="0" w:line="240" w:lineRule="auto"/>
              <w:ind w:left="0" w:right="0"/>
              <w:jc w:val="center"/>
              <w:rPr>
                <w:rFonts w:hint="eastAsia"/>
              </w:rPr>
            </w:pPr>
          </w:p>
        </w:tc>
        <w:tc>
          <w:tcPr>
            <w:tcW w:w="1701" w:type="dxa"/>
            <w:vMerge w:val="continue"/>
            <w:vAlign w:val="center"/>
          </w:tcPr>
          <w:p w14:paraId="417AFF40">
            <w:pPr>
              <w:keepNext w:val="0"/>
              <w:keepLines w:val="0"/>
              <w:widowControl/>
              <w:suppressLineNumbers w:val="0"/>
              <w:spacing w:before="0" w:beforeAutospacing="0" w:after="0" w:afterAutospacing="0" w:line="240" w:lineRule="auto"/>
              <w:ind w:left="0" w:right="0"/>
              <w:jc w:val="center"/>
              <w:rPr>
                <w:rFonts w:hint="eastAsia"/>
              </w:rPr>
            </w:pPr>
          </w:p>
        </w:tc>
        <w:tc>
          <w:tcPr>
            <w:tcW w:w="3260" w:type="dxa"/>
            <w:vAlign w:val="center"/>
          </w:tcPr>
          <w:p w14:paraId="210048EF">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医保结算清单数据质控</w:t>
            </w:r>
          </w:p>
        </w:tc>
        <w:tc>
          <w:tcPr>
            <w:tcW w:w="1985" w:type="dxa"/>
            <w:vMerge w:val="continue"/>
            <w:vAlign w:val="center"/>
          </w:tcPr>
          <w:p w14:paraId="67DA21C1">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985" w:type="dxa"/>
            <w:vMerge w:val="continue"/>
            <w:vAlign w:val="center"/>
          </w:tcPr>
          <w:p w14:paraId="36B7E950">
            <w:pPr>
              <w:keepNext w:val="0"/>
              <w:keepLines w:val="0"/>
              <w:widowControl/>
              <w:suppressLineNumbers w:val="0"/>
              <w:spacing w:before="0" w:beforeAutospacing="0" w:after="0" w:afterAutospacing="0" w:line="240" w:lineRule="auto"/>
              <w:ind w:left="0" w:right="0"/>
              <w:jc w:val="center"/>
              <w:rPr>
                <w:rFonts w:hint="eastAsia"/>
                <w:lang w:eastAsia="zh-CN"/>
              </w:rPr>
            </w:pPr>
          </w:p>
        </w:tc>
      </w:tr>
      <w:tr w14:paraId="0F12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vAlign w:val="center"/>
          </w:tcPr>
          <w:p w14:paraId="5B43B617">
            <w:pPr>
              <w:keepNext w:val="0"/>
              <w:keepLines w:val="0"/>
              <w:widowControl/>
              <w:suppressLineNumbers w:val="0"/>
              <w:spacing w:before="0" w:beforeAutospacing="0" w:after="0" w:afterAutospacing="0" w:line="240" w:lineRule="auto"/>
              <w:ind w:left="0" w:right="0"/>
              <w:jc w:val="center"/>
              <w:rPr>
                <w:rFonts w:hint="eastAsia"/>
              </w:rPr>
            </w:pPr>
            <w:r>
              <w:rPr>
                <w:rFonts w:hint="eastAsia"/>
              </w:rPr>
              <w:t>2</w:t>
            </w:r>
          </w:p>
        </w:tc>
        <w:tc>
          <w:tcPr>
            <w:tcW w:w="1701" w:type="dxa"/>
            <w:vMerge w:val="restart"/>
            <w:vAlign w:val="center"/>
          </w:tcPr>
          <w:p w14:paraId="32AD8DDC">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DRG运营管理分析系统</w:t>
            </w:r>
          </w:p>
        </w:tc>
        <w:tc>
          <w:tcPr>
            <w:tcW w:w="3260" w:type="dxa"/>
            <w:vAlign w:val="center"/>
          </w:tcPr>
          <w:p w14:paraId="2F067347">
            <w:pPr>
              <w:keepNext w:val="0"/>
              <w:keepLines w:val="0"/>
              <w:widowControl/>
              <w:suppressLineNumbers w:val="0"/>
              <w:spacing w:before="0" w:beforeAutospacing="0" w:after="0" w:afterAutospacing="0" w:line="240" w:lineRule="auto"/>
              <w:ind w:left="0" w:right="0"/>
              <w:jc w:val="center"/>
              <w:rPr>
                <w:rFonts w:hint="eastAsia"/>
              </w:rPr>
            </w:pPr>
            <w:r>
              <w:rPr>
                <w:rFonts w:hint="eastAsia"/>
              </w:rPr>
              <w:t>在院病案预分组功能</w:t>
            </w:r>
          </w:p>
        </w:tc>
        <w:tc>
          <w:tcPr>
            <w:tcW w:w="1985" w:type="dxa"/>
            <w:vMerge w:val="continue"/>
            <w:vAlign w:val="center"/>
          </w:tcPr>
          <w:p w14:paraId="3F4D0D66">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985" w:type="dxa"/>
            <w:vMerge w:val="continue"/>
            <w:vAlign w:val="center"/>
          </w:tcPr>
          <w:p w14:paraId="78CD1F9A">
            <w:pPr>
              <w:keepNext w:val="0"/>
              <w:keepLines w:val="0"/>
              <w:widowControl/>
              <w:suppressLineNumbers w:val="0"/>
              <w:spacing w:before="0" w:beforeAutospacing="0" w:after="0" w:afterAutospacing="0" w:line="240" w:lineRule="auto"/>
              <w:ind w:left="0" w:right="0"/>
              <w:jc w:val="center"/>
              <w:rPr>
                <w:rFonts w:hint="eastAsia"/>
              </w:rPr>
            </w:pPr>
          </w:p>
        </w:tc>
      </w:tr>
      <w:tr w14:paraId="29C4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4AEDD405">
            <w:pPr>
              <w:keepNext w:val="0"/>
              <w:keepLines w:val="0"/>
              <w:widowControl/>
              <w:suppressLineNumbers w:val="0"/>
              <w:spacing w:before="0" w:beforeAutospacing="0" w:after="0" w:afterAutospacing="0" w:line="240" w:lineRule="auto"/>
              <w:ind w:left="0" w:right="0"/>
              <w:jc w:val="center"/>
              <w:rPr>
                <w:rFonts w:hint="eastAsia"/>
              </w:rPr>
            </w:pPr>
          </w:p>
        </w:tc>
        <w:tc>
          <w:tcPr>
            <w:tcW w:w="1701" w:type="dxa"/>
            <w:vMerge w:val="continue"/>
            <w:vAlign w:val="center"/>
          </w:tcPr>
          <w:p w14:paraId="69DA19E0">
            <w:pPr>
              <w:keepNext w:val="0"/>
              <w:keepLines w:val="0"/>
              <w:widowControl/>
              <w:suppressLineNumbers w:val="0"/>
              <w:spacing w:before="0" w:beforeAutospacing="0" w:after="0" w:afterAutospacing="0" w:line="240" w:lineRule="auto"/>
              <w:ind w:left="0" w:right="0"/>
              <w:jc w:val="center"/>
              <w:rPr>
                <w:rFonts w:hint="eastAsia"/>
              </w:rPr>
            </w:pPr>
          </w:p>
        </w:tc>
        <w:tc>
          <w:tcPr>
            <w:tcW w:w="3260" w:type="dxa"/>
            <w:vAlign w:val="center"/>
          </w:tcPr>
          <w:p w14:paraId="12FF5297">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在院病案费用预评估功能</w:t>
            </w:r>
          </w:p>
        </w:tc>
        <w:tc>
          <w:tcPr>
            <w:tcW w:w="1985" w:type="dxa"/>
            <w:vMerge w:val="continue"/>
            <w:vAlign w:val="center"/>
          </w:tcPr>
          <w:p w14:paraId="69A7A76C">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985" w:type="dxa"/>
            <w:vMerge w:val="continue"/>
            <w:vAlign w:val="center"/>
          </w:tcPr>
          <w:p w14:paraId="7A8CBD79">
            <w:pPr>
              <w:keepNext w:val="0"/>
              <w:keepLines w:val="0"/>
              <w:widowControl/>
              <w:suppressLineNumbers w:val="0"/>
              <w:spacing w:before="0" w:beforeAutospacing="0" w:after="0" w:afterAutospacing="0" w:line="240" w:lineRule="auto"/>
              <w:ind w:left="0" w:right="0"/>
              <w:jc w:val="center"/>
              <w:rPr>
                <w:rFonts w:hint="eastAsia"/>
                <w:lang w:eastAsia="zh-CN"/>
              </w:rPr>
            </w:pPr>
          </w:p>
        </w:tc>
      </w:tr>
      <w:tr w14:paraId="3D1B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2C9F9199">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1701" w:type="dxa"/>
            <w:vMerge w:val="continue"/>
            <w:vAlign w:val="center"/>
          </w:tcPr>
          <w:p w14:paraId="50336EED">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3260" w:type="dxa"/>
            <w:vAlign w:val="center"/>
          </w:tcPr>
          <w:p w14:paraId="1ABD2A5E">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在院病案分组模拟功能</w:t>
            </w:r>
          </w:p>
        </w:tc>
        <w:tc>
          <w:tcPr>
            <w:tcW w:w="1985" w:type="dxa"/>
            <w:vMerge w:val="continue"/>
            <w:vAlign w:val="center"/>
          </w:tcPr>
          <w:p w14:paraId="2B0E67E0">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985" w:type="dxa"/>
            <w:vMerge w:val="continue"/>
            <w:vAlign w:val="center"/>
          </w:tcPr>
          <w:p w14:paraId="7E092950">
            <w:pPr>
              <w:keepNext w:val="0"/>
              <w:keepLines w:val="0"/>
              <w:widowControl/>
              <w:suppressLineNumbers w:val="0"/>
              <w:spacing w:before="0" w:beforeAutospacing="0" w:after="0" w:afterAutospacing="0" w:line="240" w:lineRule="auto"/>
              <w:ind w:left="0" w:right="0"/>
              <w:jc w:val="center"/>
              <w:rPr>
                <w:rFonts w:hint="eastAsia"/>
                <w:lang w:eastAsia="zh-CN"/>
              </w:rPr>
            </w:pPr>
          </w:p>
        </w:tc>
      </w:tr>
      <w:tr w14:paraId="2518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3B4D8ACA">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1701" w:type="dxa"/>
            <w:vMerge w:val="continue"/>
            <w:vAlign w:val="center"/>
          </w:tcPr>
          <w:p w14:paraId="5DA31428">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3260" w:type="dxa"/>
            <w:vAlign w:val="center"/>
          </w:tcPr>
          <w:p w14:paraId="2BD53BC0">
            <w:pPr>
              <w:keepNext w:val="0"/>
              <w:keepLines w:val="0"/>
              <w:widowControl/>
              <w:suppressLineNumbers w:val="0"/>
              <w:spacing w:before="0" w:beforeAutospacing="0" w:after="0" w:afterAutospacing="0" w:line="240" w:lineRule="auto"/>
              <w:ind w:left="0" w:right="0"/>
              <w:jc w:val="center"/>
              <w:rPr>
                <w:rFonts w:hint="eastAsia"/>
              </w:rPr>
            </w:pPr>
            <w:r>
              <w:rPr>
                <w:rFonts w:hint="eastAsia"/>
              </w:rPr>
              <w:t>高倍率病例反馈功能</w:t>
            </w:r>
          </w:p>
        </w:tc>
        <w:tc>
          <w:tcPr>
            <w:tcW w:w="1985" w:type="dxa"/>
            <w:vMerge w:val="continue"/>
            <w:vAlign w:val="center"/>
          </w:tcPr>
          <w:p w14:paraId="76E6EEF6">
            <w:pPr>
              <w:keepNext w:val="0"/>
              <w:keepLines w:val="0"/>
              <w:widowControl/>
              <w:suppressLineNumbers w:val="0"/>
              <w:spacing w:before="0" w:beforeAutospacing="0" w:after="0" w:afterAutospacing="0" w:line="240" w:lineRule="auto"/>
              <w:ind w:left="0" w:right="0"/>
              <w:jc w:val="center"/>
              <w:rPr>
                <w:rFonts w:hint="eastAsia"/>
              </w:rPr>
            </w:pPr>
          </w:p>
        </w:tc>
        <w:tc>
          <w:tcPr>
            <w:tcW w:w="985" w:type="dxa"/>
            <w:vMerge w:val="continue"/>
            <w:vAlign w:val="center"/>
          </w:tcPr>
          <w:p w14:paraId="527B0227">
            <w:pPr>
              <w:keepNext w:val="0"/>
              <w:keepLines w:val="0"/>
              <w:widowControl/>
              <w:suppressLineNumbers w:val="0"/>
              <w:spacing w:before="0" w:beforeAutospacing="0" w:after="0" w:afterAutospacing="0" w:line="240" w:lineRule="auto"/>
              <w:ind w:left="0" w:right="0"/>
              <w:jc w:val="center"/>
              <w:rPr>
                <w:rFonts w:hint="eastAsia"/>
              </w:rPr>
            </w:pPr>
          </w:p>
        </w:tc>
      </w:tr>
      <w:tr w14:paraId="67D4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29DE8188">
            <w:pPr>
              <w:keepNext w:val="0"/>
              <w:keepLines w:val="0"/>
              <w:widowControl/>
              <w:suppressLineNumbers w:val="0"/>
              <w:spacing w:before="0" w:beforeAutospacing="0" w:after="0" w:afterAutospacing="0" w:line="240" w:lineRule="auto"/>
              <w:ind w:left="0" w:right="0"/>
              <w:jc w:val="center"/>
              <w:rPr>
                <w:rFonts w:hint="eastAsia"/>
              </w:rPr>
            </w:pPr>
          </w:p>
        </w:tc>
        <w:tc>
          <w:tcPr>
            <w:tcW w:w="1701" w:type="dxa"/>
            <w:vMerge w:val="continue"/>
            <w:vAlign w:val="center"/>
          </w:tcPr>
          <w:p w14:paraId="1B11E0B1">
            <w:pPr>
              <w:keepNext w:val="0"/>
              <w:keepLines w:val="0"/>
              <w:widowControl/>
              <w:suppressLineNumbers w:val="0"/>
              <w:spacing w:before="0" w:beforeAutospacing="0" w:after="0" w:afterAutospacing="0" w:line="240" w:lineRule="auto"/>
              <w:ind w:left="0" w:right="0"/>
              <w:jc w:val="center"/>
              <w:rPr>
                <w:rFonts w:hint="eastAsia"/>
              </w:rPr>
            </w:pPr>
          </w:p>
        </w:tc>
        <w:tc>
          <w:tcPr>
            <w:tcW w:w="3260" w:type="dxa"/>
            <w:vAlign w:val="center"/>
          </w:tcPr>
          <w:p w14:paraId="6CB8AFE0">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DRG相关知识及入组规则查询</w:t>
            </w:r>
          </w:p>
        </w:tc>
        <w:tc>
          <w:tcPr>
            <w:tcW w:w="1985" w:type="dxa"/>
            <w:vMerge w:val="continue"/>
            <w:vAlign w:val="center"/>
          </w:tcPr>
          <w:p w14:paraId="67026B54">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985" w:type="dxa"/>
            <w:vMerge w:val="continue"/>
            <w:vAlign w:val="center"/>
          </w:tcPr>
          <w:p w14:paraId="2AC10D99">
            <w:pPr>
              <w:keepNext w:val="0"/>
              <w:keepLines w:val="0"/>
              <w:widowControl/>
              <w:suppressLineNumbers w:val="0"/>
              <w:spacing w:before="0" w:beforeAutospacing="0" w:after="0" w:afterAutospacing="0" w:line="240" w:lineRule="auto"/>
              <w:ind w:left="0" w:right="0"/>
              <w:jc w:val="center"/>
              <w:rPr>
                <w:rFonts w:hint="eastAsia"/>
                <w:lang w:eastAsia="zh-CN"/>
              </w:rPr>
            </w:pPr>
          </w:p>
        </w:tc>
      </w:tr>
      <w:tr w14:paraId="6E94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06BB1E24">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1701" w:type="dxa"/>
            <w:vMerge w:val="continue"/>
            <w:vAlign w:val="center"/>
          </w:tcPr>
          <w:p w14:paraId="3A911E86">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3260" w:type="dxa"/>
            <w:vAlign w:val="center"/>
          </w:tcPr>
          <w:p w14:paraId="1ED68FE1">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DRG费用分析、指标分析</w:t>
            </w:r>
          </w:p>
        </w:tc>
        <w:tc>
          <w:tcPr>
            <w:tcW w:w="1985" w:type="dxa"/>
            <w:vMerge w:val="continue"/>
            <w:vAlign w:val="center"/>
          </w:tcPr>
          <w:p w14:paraId="57F9DB1E">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985" w:type="dxa"/>
            <w:vMerge w:val="continue"/>
            <w:vAlign w:val="center"/>
          </w:tcPr>
          <w:p w14:paraId="25A18A7E">
            <w:pPr>
              <w:keepNext w:val="0"/>
              <w:keepLines w:val="0"/>
              <w:widowControl/>
              <w:suppressLineNumbers w:val="0"/>
              <w:spacing w:before="0" w:beforeAutospacing="0" w:after="0" w:afterAutospacing="0" w:line="240" w:lineRule="auto"/>
              <w:ind w:left="0" w:right="0"/>
              <w:jc w:val="center"/>
              <w:rPr>
                <w:rFonts w:hint="eastAsia"/>
                <w:lang w:eastAsia="zh-CN"/>
              </w:rPr>
            </w:pPr>
          </w:p>
        </w:tc>
      </w:tr>
      <w:tr w14:paraId="1463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vAlign w:val="center"/>
          </w:tcPr>
          <w:p w14:paraId="292760B5">
            <w:pPr>
              <w:keepNext w:val="0"/>
              <w:keepLines w:val="0"/>
              <w:widowControl/>
              <w:suppressLineNumbers w:val="0"/>
              <w:spacing w:before="0" w:beforeAutospacing="0" w:after="0" w:afterAutospacing="0" w:line="240" w:lineRule="auto"/>
              <w:ind w:left="0" w:right="0"/>
              <w:jc w:val="center"/>
              <w:rPr>
                <w:rFonts w:hint="eastAsia"/>
              </w:rPr>
            </w:pPr>
            <w:r>
              <w:rPr>
                <w:rFonts w:hint="eastAsia"/>
              </w:rPr>
              <w:t>3</w:t>
            </w:r>
          </w:p>
        </w:tc>
        <w:tc>
          <w:tcPr>
            <w:tcW w:w="1701" w:type="dxa"/>
            <w:vMerge w:val="restart"/>
            <w:vAlign w:val="center"/>
          </w:tcPr>
          <w:p w14:paraId="4A0460AE">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医保基金监控审核管理系统</w:t>
            </w:r>
          </w:p>
        </w:tc>
        <w:tc>
          <w:tcPr>
            <w:tcW w:w="3260" w:type="dxa"/>
            <w:vAlign w:val="center"/>
          </w:tcPr>
          <w:p w14:paraId="3AC7302B">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事前预警（违规诊疗、检查、用药、收费）</w:t>
            </w:r>
          </w:p>
        </w:tc>
        <w:tc>
          <w:tcPr>
            <w:tcW w:w="1985" w:type="dxa"/>
            <w:vMerge w:val="continue"/>
            <w:vAlign w:val="center"/>
          </w:tcPr>
          <w:p w14:paraId="4247F72B">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985" w:type="dxa"/>
            <w:vMerge w:val="continue"/>
            <w:vAlign w:val="center"/>
          </w:tcPr>
          <w:p w14:paraId="6689FB95">
            <w:pPr>
              <w:keepNext w:val="0"/>
              <w:keepLines w:val="0"/>
              <w:widowControl/>
              <w:suppressLineNumbers w:val="0"/>
              <w:spacing w:before="0" w:beforeAutospacing="0" w:after="0" w:afterAutospacing="0" w:line="240" w:lineRule="auto"/>
              <w:ind w:left="0" w:right="0"/>
              <w:jc w:val="center"/>
              <w:rPr>
                <w:rFonts w:hint="eastAsia"/>
                <w:lang w:eastAsia="zh-CN"/>
              </w:rPr>
            </w:pPr>
          </w:p>
        </w:tc>
      </w:tr>
      <w:tr w14:paraId="70F0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00DA6818">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1701" w:type="dxa"/>
            <w:vMerge w:val="continue"/>
            <w:vAlign w:val="center"/>
          </w:tcPr>
          <w:p w14:paraId="731CD8F8">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3260" w:type="dxa"/>
            <w:vAlign w:val="center"/>
          </w:tcPr>
          <w:p w14:paraId="46C737C9">
            <w:pPr>
              <w:keepNext w:val="0"/>
              <w:keepLines w:val="0"/>
              <w:widowControl/>
              <w:suppressLineNumbers w:val="0"/>
              <w:spacing w:before="0" w:beforeAutospacing="0" w:after="0" w:afterAutospacing="0" w:line="240" w:lineRule="auto"/>
              <w:ind w:left="0" w:right="0"/>
              <w:jc w:val="center"/>
              <w:rPr>
                <w:rFonts w:hint="eastAsia"/>
              </w:rPr>
            </w:pPr>
            <w:r>
              <w:rPr>
                <w:rFonts w:hint="eastAsia"/>
              </w:rPr>
              <w:t>事中监控</w:t>
            </w:r>
          </w:p>
        </w:tc>
        <w:tc>
          <w:tcPr>
            <w:tcW w:w="1985" w:type="dxa"/>
            <w:vMerge w:val="continue"/>
            <w:vAlign w:val="center"/>
          </w:tcPr>
          <w:p w14:paraId="6C4736BF">
            <w:pPr>
              <w:keepNext w:val="0"/>
              <w:keepLines w:val="0"/>
              <w:widowControl/>
              <w:suppressLineNumbers w:val="0"/>
              <w:spacing w:before="0" w:beforeAutospacing="0" w:after="0" w:afterAutospacing="0" w:line="240" w:lineRule="auto"/>
              <w:ind w:left="0" w:right="0"/>
              <w:jc w:val="center"/>
              <w:rPr>
                <w:rFonts w:hint="eastAsia"/>
              </w:rPr>
            </w:pPr>
          </w:p>
        </w:tc>
        <w:tc>
          <w:tcPr>
            <w:tcW w:w="985" w:type="dxa"/>
            <w:vMerge w:val="continue"/>
            <w:vAlign w:val="center"/>
          </w:tcPr>
          <w:p w14:paraId="5EC7BA8E">
            <w:pPr>
              <w:keepNext w:val="0"/>
              <w:keepLines w:val="0"/>
              <w:widowControl/>
              <w:suppressLineNumbers w:val="0"/>
              <w:spacing w:before="0" w:beforeAutospacing="0" w:after="0" w:afterAutospacing="0" w:line="240" w:lineRule="auto"/>
              <w:ind w:left="0" w:right="0"/>
              <w:jc w:val="center"/>
              <w:rPr>
                <w:rFonts w:hint="eastAsia"/>
              </w:rPr>
            </w:pPr>
          </w:p>
        </w:tc>
      </w:tr>
      <w:tr w14:paraId="3CF3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789D4E2F">
            <w:pPr>
              <w:keepNext w:val="0"/>
              <w:keepLines w:val="0"/>
              <w:widowControl/>
              <w:suppressLineNumbers w:val="0"/>
              <w:spacing w:before="0" w:beforeAutospacing="0" w:after="0" w:afterAutospacing="0" w:line="240" w:lineRule="auto"/>
              <w:ind w:left="0" w:right="0"/>
              <w:jc w:val="center"/>
              <w:rPr>
                <w:rFonts w:hint="eastAsia"/>
              </w:rPr>
            </w:pPr>
          </w:p>
        </w:tc>
        <w:tc>
          <w:tcPr>
            <w:tcW w:w="1701" w:type="dxa"/>
            <w:vMerge w:val="continue"/>
            <w:vAlign w:val="center"/>
          </w:tcPr>
          <w:p w14:paraId="476E3DCE">
            <w:pPr>
              <w:keepNext w:val="0"/>
              <w:keepLines w:val="0"/>
              <w:widowControl/>
              <w:suppressLineNumbers w:val="0"/>
              <w:spacing w:before="0" w:beforeAutospacing="0" w:after="0" w:afterAutospacing="0" w:line="240" w:lineRule="auto"/>
              <w:ind w:left="0" w:right="0"/>
              <w:jc w:val="center"/>
              <w:rPr>
                <w:rFonts w:hint="eastAsia"/>
              </w:rPr>
            </w:pPr>
          </w:p>
        </w:tc>
        <w:tc>
          <w:tcPr>
            <w:tcW w:w="3260" w:type="dxa"/>
            <w:vAlign w:val="center"/>
          </w:tcPr>
          <w:p w14:paraId="59390F0E">
            <w:pPr>
              <w:keepNext w:val="0"/>
              <w:keepLines w:val="0"/>
              <w:widowControl/>
              <w:suppressLineNumbers w:val="0"/>
              <w:spacing w:before="0" w:beforeAutospacing="0" w:after="0" w:afterAutospacing="0" w:line="240" w:lineRule="auto"/>
              <w:ind w:left="0" w:right="0"/>
              <w:jc w:val="center"/>
              <w:rPr>
                <w:rFonts w:hint="eastAsia"/>
              </w:rPr>
            </w:pPr>
            <w:r>
              <w:rPr>
                <w:rFonts w:hint="eastAsia"/>
              </w:rPr>
              <w:t>事后审核</w:t>
            </w:r>
          </w:p>
        </w:tc>
        <w:tc>
          <w:tcPr>
            <w:tcW w:w="1985" w:type="dxa"/>
            <w:vMerge w:val="continue"/>
            <w:vAlign w:val="center"/>
          </w:tcPr>
          <w:p w14:paraId="352B528A">
            <w:pPr>
              <w:keepNext w:val="0"/>
              <w:keepLines w:val="0"/>
              <w:widowControl/>
              <w:suppressLineNumbers w:val="0"/>
              <w:spacing w:before="0" w:beforeAutospacing="0" w:after="0" w:afterAutospacing="0" w:line="240" w:lineRule="auto"/>
              <w:ind w:left="0" w:right="0"/>
              <w:jc w:val="center"/>
              <w:rPr>
                <w:rFonts w:hint="eastAsia"/>
              </w:rPr>
            </w:pPr>
          </w:p>
        </w:tc>
        <w:tc>
          <w:tcPr>
            <w:tcW w:w="985" w:type="dxa"/>
            <w:vMerge w:val="continue"/>
            <w:vAlign w:val="center"/>
          </w:tcPr>
          <w:p w14:paraId="20436F45">
            <w:pPr>
              <w:keepNext w:val="0"/>
              <w:keepLines w:val="0"/>
              <w:widowControl/>
              <w:suppressLineNumbers w:val="0"/>
              <w:spacing w:before="0" w:beforeAutospacing="0" w:after="0" w:afterAutospacing="0" w:line="240" w:lineRule="auto"/>
              <w:ind w:left="0" w:right="0"/>
              <w:jc w:val="center"/>
              <w:rPr>
                <w:rFonts w:hint="eastAsia"/>
              </w:rPr>
            </w:pPr>
          </w:p>
        </w:tc>
      </w:tr>
      <w:tr w14:paraId="08A0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4A6DCB8B">
            <w:pPr>
              <w:keepNext w:val="0"/>
              <w:keepLines w:val="0"/>
              <w:widowControl/>
              <w:suppressLineNumbers w:val="0"/>
              <w:spacing w:before="0" w:beforeAutospacing="0" w:after="0" w:afterAutospacing="0" w:line="240" w:lineRule="auto"/>
              <w:ind w:left="0" w:right="0"/>
              <w:jc w:val="center"/>
              <w:rPr>
                <w:rFonts w:hint="eastAsia"/>
              </w:rPr>
            </w:pPr>
          </w:p>
        </w:tc>
        <w:tc>
          <w:tcPr>
            <w:tcW w:w="1701" w:type="dxa"/>
            <w:vMerge w:val="continue"/>
            <w:vAlign w:val="center"/>
          </w:tcPr>
          <w:p w14:paraId="30FE0DCE">
            <w:pPr>
              <w:keepNext w:val="0"/>
              <w:keepLines w:val="0"/>
              <w:widowControl/>
              <w:suppressLineNumbers w:val="0"/>
              <w:spacing w:before="0" w:beforeAutospacing="0" w:after="0" w:afterAutospacing="0" w:line="240" w:lineRule="auto"/>
              <w:ind w:left="0" w:right="0"/>
              <w:jc w:val="center"/>
              <w:rPr>
                <w:rFonts w:hint="eastAsia"/>
              </w:rPr>
            </w:pPr>
          </w:p>
        </w:tc>
        <w:tc>
          <w:tcPr>
            <w:tcW w:w="3260" w:type="dxa"/>
            <w:vAlign w:val="center"/>
          </w:tcPr>
          <w:p w14:paraId="1C7C960B">
            <w:pPr>
              <w:keepNext w:val="0"/>
              <w:keepLines w:val="0"/>
              <w:widowControl/>
              <w:suppressLineNumbers w:val="0"/>
              <w:spacing w:before="0" w:beforeAutospacing="0" w:after="0" w:afterAutospacing="0" w:line="240" w:lineRule="auto"/>
              <w:ind w:left="0" w:right="0"/>
              <w:jc w:val="center"/>
              <w:rPr>
                <w:rFonts w:hint="eastAsia"/>
              </w:rPr>
            </w:pPr>
            <w:r>
              <w:rPr>
                <w:rFonts w:hint="eastAsia"/>
              </w:rPr>
              <w:t>申诉管理</w:t>
            </w:r>
          </w:p>
        </w:tc>
        <w:tc>
          <w:tcPr>
            <w:tcW w:w="1985" w:type="dxa"/>
            <w:vMerge w:val="continue"/>
            <w:vAlign w:val="center"/>
          </w:tcPr>
          <w:p w14:paraId="76CAB3E0">
            <w:pPr>
              <w:keepNext w:val="0"/>
              <w:keepLines w:val="0"/>
              <w:widowControl/>
              <w:suppressLineNumbers w:val="0"/>
              <w:spacing w:before="0" w:beforeAutospacing="0" w:after="0" w:afterAutospacing="0" w:line="240" w:lineRule="auto"/>
              <w:ind w:left="0" w:right="0"/>
              <w:jc w:val="center"/>
              <w:rPr>
                <w:rFonts w:hint="eastAsia"/>
              </w:rPr>
            </w:pPr>
          </w:p>
        </w:tc>
        <w:tc>
          <w:tcPr>
            <w:tcW w:w="985" w:type="dxa"/>
            <w:vMerge w:val="continue"/>
            <w:vAlign w:val="center"/>
          </w:tcPr>
          <w:p w14:paraId="3D3B98D0">
            <w:pPr>
              <w:keepNext w:val="0"/>
              <w:keepLines w:val="0"/>
              <w:widowControl/>
              <w:suppressLineNumbers w:val="0"/>
              <w:spacing w:before="0" w:beforeAutospacing="0" w:after="0" w:afterAutospacing="0" w:line="240" w:lineRule="auto"/>
              <w:ind w:left="0" w:right="0"/>
              <w:jc w:val="center"/>
              <w:rPr>
                <w:rFonts w:hint="eastAsia"/>
              </w:rPr>
            </w:pPr>
          </w:p>
        </w:tc>
      </w:tr>
      <w:tr w14:paraId="7E3B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vAlign w:val="center"/>
          </w:tcPr>
          <w:p w14:paraId="5A46C917">
            <w:pPr>
              <w:keepNext w:val="0"/>
              <w:keepLines w:val="0"/>
              <w:widowControl/>
              <w:suppressLineNumbers w:val="0"/>
              <w:spacing w:before="0" w:beforeAutospacing="0" w:after="0" w:afterAutospacing="0" w:line="240" w:lineRule="auto"/>
              <w:ind w:left="0" w:right="0"/>
              <w:jc w:val="center"/>
              <w:rPr>
                <w:rFonts w:hint="eastAsia"/>
              </w:rPr>
            </w:pPr>
            <w:r>
              <w:rPr>
                <w:rFonts w:hint="eastAsia"/>
              </w:rPr>
              <w:t>4</w:t>
            </w:r>
          </w:p>
        </w:tc>
        <w:tc>
          <w:tcPr>
            <w:tcW w:w="1701" w:type="dxa"/>
            <w:vMerge w:val="restart"/>
            <w:vAlign w:val="center"/>
          </w:tcPr>
          <w:p w14:paraId="727E24C0">
            <w:pPr>
              <w:keepNext w:val="0"/>
              <w:keepLines w:val="0"/>
              <w:widowControl/>
              <w:suppressLineNumbers w:val="0"/>
              <w:spacing w:before="0" w:beforeAutospacing="0" w:after="0" w:afterAutospacing="0" w:line="240" w:lineRule="auto"/>
              <w:ind w:left="0" w:right="0"/>
              <w:jc w:val="center"/>
              <w:rPr>
                <w:rFonts w:hint="eastAsia"/>
              </w:rPr>
            </w:pPr>
            <w:r>
              <w:rPr>
                <w:rFonts w:hint="eastAsia"/>
              </w:rPr>
              <w:t>数据接口服务</w:t>
            </w:r>
          </w:p>
        </w:tc>
        <w:tc>
          <w:tcPr>
            <w:tcW w:w="3260" w:type="dxa"/>
            <w:vAlign w:val="center"/>
          </w:tcPr>
          <w:p w14:paraId="4D524821">
            <w:pPr>
              <w:keepNext w:val="0"/>
              <w:keepLines w:val="0"/>
              <w:widowControl/>
              <w:suppressLineNumbers w:val="0"/>
              <w:spacing w:before="0" w:beforeAutospacing="0" w:after="0" w:afterAutospacing="0" w:line="240" w:lineRule="auto"/>
              <w:ind w:left="0" w:right="0"/>
              <w:jc w:val="center"/>
              <w:rPr>
                <w:rFonts w:hint="eastAsia"/>
              </w:rPr>
            </w:pPr>
            <w:r>
              <w:rPr>
                <w:rFonts w:hint="eastAsia"/>
              </w:rPr>
              <w:t>基础信息数据接口</w:t>
            </w:r>
          </w:p>
        </w:tc>
        <w:tc>
          <w:tcPr>
            <w:tcW w:w="1985" w:type="dxa"/>
            <w:vMerge w:val="continue"/>
            <w:vAlign w:val="center"/>
          </w:tcPr>
          <w:p w14:paraId="5F4A85E8">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985" w:type="dxa"/>
            <w:vMerge w:val="continue"/>
            <w:vAlign w:val="center"/>
          </w:tcPr>
          <w:p w14:paraId="49CCAB52">
            <w:pPr>
              <w:keepNext w:val="0"/>
              <w:keepLines w:val="0"/>
              <w:widowControl/>
              <w:suppressLineNumbers w:val="0"/>
              <w:spacing w:before="0" w:beforeAutospacing="0" w:after="0" w:afterAutospacing="0" w:line="240" w:lineRule="auto"/>
              <w:ind w:left="0" w:right="0"/>
              <w:jc w:val="center"/>
              <w:rPr>
                <w:rFonts w:hint="eastAsia"/>
              </w:rPr>
            </w:pPr>
          </w:p>
        </w:tc>
      </w:tr>
      <w:tr w14:paraId="4048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155B62D1">
            <w:pPr>
              <w:keepNext w:val="0"/>
              <w:keepLines w:val="0"/>
              <w:widowControl/>
              <w:suppressLineNumbers w:val="0"/>
              <w:spacing w:before="0" w:beforeAutospacing="0" w:after="0" w:afterAutospacing="0" w:line="240" w:lineRule="auto"/>
              <w:ind w:left="0" w:right="0"/>
              <w:jc w:val="center"/>
              <w:rPr>
                <w:rFonts w:hint="eastAsia"/>
              </w:rPr>
            </w:pPr>
          </w:p>
        </w:tc>
        <w:tc>
          <w:tcPr>
            <w:tcW w:w="1701" w:type="dxa"/>
            <w:vMerge w:val="continue"/>
            <w:vAlign w:val="center"/>
          </w:tcPr>
          <w:p w14:paraId="0672DAEC">
            <w:pPr>
              <w:keepNext w:val="0"/>
              <w:keepLines w:val="0"/>
              <w:widowControl/>
              <w:suppressLineNumbers w:val="0"/>
              <w:spacing w:before="0" w:beforeAutospacing="0" w:after="0" w:afterAutospacing="0" w:line="240" w:lineRule="auto"/>
              <w:ind w:left="0" w:right="0"/>
              <w:jc w:val="center"/>
              <w:rPr>
                <w:rFonts w:hint="eastAsia"/>
              </w:rPr>
            </w:pPr>
          </w:p>
        </w:tc>
        <w:tc>
          <w:tcPr>
            <w:tcW w:w="3260" w:type="dxa"/>
            <w:vAlign w:val="center"/>
          </w:tcPr>
          <w:p w14:paraId="0870E333">
            <w:pPr>
              <w:keepNext w:val="0"/>
              <w:keepLines w:val="0"/>
              <w:widowControl/>
              <w:suppressLineNumbers w:val="0"/>
              <w:spacing w:before="0" w:beforeAutospacing="0" w:after="0" w:afterAutospacing="0" w:line="240" w:lineRule="auto"/>
              <w:ind w:left="0" w:right="0"/>
              <w:jc w:val="center"/>
              <w:rPr>
                <w:rFonts w:hint="eastAsia"/>
              </w:rPr>
            </w:pPr>
            <w:r>
              <w:rPr>
                <w:rFonts w:hint="eastAsia"/>
              </w:rPr>
              <w:t>医师字典数据接口</w:t>
            </w:r>
          </w:p>
        </w:tc>
        <w:tc>
          <w:tcPr>
            <w:tcW w:w="1985" w:type="dxa"/>
            <w:vMerge w:val="continue"/>
            <w:vAlign w:val="center"/>
          </w:tcPr>
          <w:p w14:paraId="0F7768EE">
            <w:pPr>
              <w:keepNext w:val="0"/>
              <w:keepLines w:val="0"/>
              <w:widowControl/>
              <w:suppressLineNumbers w:val="0"/>
              <w:spacing w:before="0" w:beforeAutospacing="0" w:after="0" w:afterAutospacing="0" w:line="240" w:lineRule="auto"/>
              <w:ind w:left="0" w:right="0"/>
              <w:jc w:val="center"/>
              <w:rPr>
                <w:rFonts w:hint="eastAsia"/>
              </w:rPr>
            </w:pPr>
          </w:p>
        </w:tc>
        <w:tc>
          <w:tcPr>
            <w:tcW w:w="985" w:type="dxa"/>
            <w:vMerge w:val="continue"/>
            <w:vAlign w:val="center"/>
          </w:tcPr>
          <w:p w14:paraId="0708E7A8">
            <w:pPr>
              <w:keepNext w:val="0"/>
              <w:keepLines w:val="0"/>
              <w:widowControl/>
              <w:suppressLineNumbers w:val="0"/>
              <w:spacing w:before="0" w:beforeAutospacing="0" w:after="0" w:afterAutospacing="0" w:line="240" w:lineRule="auto"/>
              <w:ind w:left="0" w:right="0"/>
              <w:jc w:val="center"/>
              <w:rPr>
                <w:rFonts w:hint="eastAsia"/>
              </w:rPr>
            </w:pPr>
          </w:p>
        </w:tc>
      </w:tr>
      <w:tr w14:paraId="14A5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7248C6DF">
            <w:pPr>
              <w:keepNext w:val="0"/>
              <w:keepLines w:val="0"/>
              <w:widowControl/>
              <w:suppressLineNumbers w:val="0"/>
              <w:spacing w:before="0" w:beforeAutospacing="0" w:after="0" w:afterAutospacing="0" w:line="240" w:lineRule="auto"/>
              <w:ind w:left="0" w:right="0"/>
              <w:jc w:val="center"/>
              <w:rPr>
                <w:rFonts w:hint="eastAsia"/>
              </w:rPr>
            </w:pPr>
          </w:p>
        </w:tc>
        <w:tc>
          <w:tcPr>
            <w:tcW w:w="1701" w:type="dxa"/>
            <w:vMerge w:val="continue"/>
            <w:vAlign w:val="center"/>
          </w:tcPr>
          <w:p w14:paraId="3EFC63E2">
            <w:pPr>
              <w:keepNext w:val="0"/>
              <w:keepLines w:val="0"/>
              <w:widowControl/>
              <w:suppressLineNumbers w:val="0"/>
              <w:spacing w:before="0" w:beforeAutospacing="0" w:after="0" w:afterAutospacing="0" w:line="240" w:lineRule="auto"/>
              <w:ind w:left="0" w:right="0"/>
              <w:jc w:val="center"/>
              <w:rPr>
                <w:rFonts w:hint="eastAsia"/>
              </w:rPr>
            </w:pPr>
          </w:p>
        </w:tc>
        <w:tc>
          <w:tcPr>
            <w:tcW w:w="3260" w:type="dxa"/>
            <w:vAlign w:val="center"/>
          </w:tcPr>
          <w:p w14:paraId="55444DB6">
            <w:pPr>
              <w:keepNext w:val="0"/>
              <w:keepLines w:val="0"/>
              <w:widowControl/>
              <w:suppressLineNumbers w:val="0"/>
              <w:spacing w:before="0" w:beforeAutospacing="0" w:after="0" w:afterAutospacing="0" w:line="240" w:lineRule="auto"/>
              <w:ind w:left="0" w:right="0"/>
              <w:jc w:val="center"/>
              <w:rPr>
                <w:rFonts w:hint="eastAsia"/>
              </w:rPr>
            </w:pPr>
            <w:r>
              <w:rPr>
                <w:rFonts w:hint="eastAsia"/>
              </w:rPr>
              <w:t>病案首页数据接口</w:t>
            </w:r>
          </w:p>
        </w:tc>
        <w:tc>
          <w:tcPr>
            <w:tcW w:w="1985" w:type="dxa"/>
            <w:vMerge w:val="continue"/>
            <w:vAlign w:val="center"/>
          </w:tcPr>
          <w:p w14:paraId="486F906E">
            <w:pPr>
              <w:keepNext w:val="0"/>
              <w:keepLines w:val="0"/>
              <w:widowControl/>
              <w:suppressLineNumbers w:val="0"/>
              <w:spacing w:before="0" w:beforeAutospacing="0" w:after="0" w:afterAutospacing="0" w:line="240" w:lineRule="auto"/>
              <w:ind w:left="0" w:right="0"/>
              <w:jc w:val="center"/>
              <w:rPr>
                <w:rFonts w:hint="eastAsia"/>
              </w:rPr>
            </w:pPr>
          </w:p>
        </w:tc>
        <w:tc>
          <w:tcPr>
            <w:tcW w:w="985" w:type="dxa"/>
            <w:vMerge w:val="continue"/>
            <w:vAlign w:val="center"/>
          </w:tcPr>
          <w:p w14:paraId="633F52BC">
            <w:pPr>
              <w:keepNext w:val="0"/>
              <w:keepLines w:val="0"/>
              <w:widowControl/>
              <w:suppressLineNumbers w:val="0"/>
              <w:spacing w:before="0" w:beforeAutospacing="0" w:after="0" w:afterAutospacing="0" w:line="240" w:lineRule="auto"/>
              <w:ind w:left="0" w:right="0"/>
              <w:jc w:val="center"/>
              <w:rPr>
                <w:rFonts w:hint="eastAsia"/>
              </w:rPr>
            </w:pPr>
          </w:p>
        </w:tc>
      </w:tr>
      <w:tr w14:paraId="5D02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00D96C6B">
            <w:pPr>
              <w:keepNext w:val="0"/>
              <w:keepLines w:val="0"/>
              <w:widowControl/>
              <w:suppressLineNumbers w:val="0"/>
              <w:spacing w:before="0" w:beforeAutospacing="0" w:after="0" w:afterAutospacing="0" w:line="240" w:lineRule="auto"/>
              <w:ind w:left="0" w:right="0"/>
              <w:jc w:val="center"/>
              <w:rPr>
                <w:rFonts w:hint="eastAsia"/>
              </w:rPr>
            </w:pPr>
          </w:p>
        </w:tc>
        <w:tc>
          <w:tcPr>
            <w:tcW w:w="1701" w:type="dxa"/>
            <w:vMerge w:val="continue"/>
            <w:vAlign w:val="center"/>
          </w:tcPr>
          <w:p w14:paraId="0A452CC2">
            <w:pPr>
              <w:keepNext w:val="0"/>
              <w:keepLines w:val="0"/>
              <w:widowControl/>
              <w:suppressLineNumbers w:val="0"/>
              <w:spacing w:before="0" w:beforeAutospacing="0" w:after="0" w:afterAutospacing="0" w:line="240" w:lineRule="auto"/>
              <w:ind w:left="0" w:right="0"/>
              <w:jc w:val="center"/>
              <w:rPr>
                <w:rFonts w:hint="eastAsia"/>
              </w:rPr>
            </w:pPr>
          </w:p>
        </w:tc>
        <w:tc>
          <w:tcPr>
            <w:tcW w:w="3260" w:type="dxa"/>
            <w:vAlign w:val="center"/>
          </w:tcPr>
          <w:p w14:paraId="73061386">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医保结算清单数据接口</w:t>
            </w:r>
          </w:p>
        </w:tc>
        <w:tc>
          <w:tcPr>
            <w:tcW w:w="1985" w:type="dxa"/>
            <w:vMerge w:val="continue"/>
            <w:vAlign w:val="center"/>
          </w:tcPr>
          <w:p w14:paraId="1C5F91F6">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985" w:type="dxa"/>
            <w:vMerge w:val="continue"/>
            <w:vAlign w:val="center"/>
          </w:tcPr>
          <w:p w14:paraId="5C0CC18D">
            <w:pPr>
              <w:keepNext w:val="0"/>
              <w:keepLines w:val="0"/>
              <w:widowControl/>
              <w:suppressLineNumbers w:val="0"/>
              <w:spacing w:before="0" w:beforeAutospacing="0" w:after="0" w:afterAutospacing="0" w:line="240" w:lineRule="auto"/>
              <w:ind w:left="0" w:right="0"/>
              <w:jc w:val="center"/>
              <w:rPr>
                <w:rFonts w:hint="eastAsia"/>
                <w:lang w:eastAsia="zh-CN"/>
              </w:rPr>
            </w:pPr>
          </w:p>
        </w:tc>
      </w:tr>
      <w:tr w14:paraId="793B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1CFEF01E">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1701" w:type="dxa"/>
            <w:vMerge w:val="continue"/>
            <w:vAlign w:val="center"/>
          </w:tcPr>
          <w:p w14:paraId="5F532C5E">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3260" w:type="dxa"/>
            <w:vAlign w:val="center"/>
          </w:tcPr>
          <w:p w14:paraId="4CCA0FE9">
            <w:pPr>
              <w:keepNext w:val="0"/>
              <w:keepLines w:val="0"/>
              <w:widowControl/>
              <w:suppressLineNumbers w:val="0"/>
              <w:spacing w:before="0" w:beforeAutospacing="0" w:after="0" w:afterAutospacing="0" w:line="240" w:lineRule="auto"/>
              <w:ind w:left="0" w:right="0"/>
              <w:jc w:val="center"/>
              <w:rPr>
                <w:rFonts w:hint="eastAsia"/>
              </w:rPr>
            </w:pPr>
            <w:r>
              <w:rPr>
                <w:rFonts w:hint="eastAsia"/>
              </w:rPr>
              <w:t>医嘱数据接口</w:t>
            </w:r>
          </w:p>
        </w:tc>
        <w:tc>
          <w:tcPr>
            <w:tcW w:w="1985" w:type="dxa"/>
            <w:vMerge w:val="continue"/>
            <w:vAlign w:val="center"/>
          </w:tcPr>
          <w:p w14:paraId="088ADF12">
            <w:pPr>
              <w:keepNext w:val="0"/>
              <w:keepLines w:val="0"/>
              <w:widowControl/>
              <w:suppressLineNumbers w:val="0"/>
              <w:spacing w:before="0" w:beforeAutospacing="0" w:after="0" w:afterAutospacing="0" w:line="240" w:lineRule="auto"/>
              <w:ind w:left="0" w:right="0"/>
              <w:jc w:val="center"/>
              <w:rPr>
                <w:rFonts w:hint="eastAsia"/>
              </w:rPr>
            </w:pPr>
          </w:p>
        </w:tc>
        <w:tc>
          <w:tcPr>
            <w:tcW w:w="985" w:type="dxa"/>
            <w:vMerge w:val="continue"/>
            <w:vAlign w:val="center"/>
          </w:tcPr>
          <w:p w14:paraId="0A76AAC1">
            <w:pPr>
              <w:keepNext w:val="0"/>
              <w:keepLines w:val="0"/>
              <w:widowControl/>
              <w:suppressLineNumbers w:val="0"/>
              <w:spacing w:before="0" w:beforeAutospacing="0" w:after="0" w:afterAutospacing="0" w:line="240" w:lineRule="auto"/>
              <w:ind w:left="0" w:right="0"/>
              <w:jc w:val="center"/>
              <w:rPr>
                <w:rFonts w:hint="eastAsia"/>
              </w:rPr>
            </w:pPr>
          </w:p>
        </w:tc>
      </w:tr>
      <w:tr w14:paraId="6CC4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554AA783">
            <w:pPr>
              <w:keepNext w:val="0"/>
              <w:keepLines w:val="0"/>
              <w:widowControl/>
              <w:suppressLineNumbers w:val="0"/>
              <w:spacing w:before="0" w:beforeAutospacing="0" w:after="0" w:afterAutospacing="0" w:line="240" w:lineRule="auto"/>
              <w:ind w:left="0" w:right="0"/>
              <w:jc w:val="center"/>
              <w:rPr>
                <w:rFonts w:hint="eastAsia"/>
              </w:rPr>
            </w:pPr>
          </w:p>
        </w:tc>
        <w:tc>
          <w:tcPr>
            <w:tcW w:w="1701" w:type="dxa"/>
            <w:vMerge w:val="continue"/>
            <w:vAlign w:val="center"/>
          </w:tcPr>
          <w:p w14:paraId="3B599843">
            <w:pPr>
              <w:keepNext w:val="0"/>
              <w:keepLines w:val="0"/>
              <w:widowControl/>
              <w:suppressLineNumbers w:val="0"/>
              <w:spacing w:before="0" w:beforeAutospacing="0" w:after="0" w:afterAutospacing="0" w:line="240" w:lineRule="auto"/>
              <w:ind w:left="0" w:right="0"/>
              <w:jc w:val="center"/>
              <w:rPr>
                <w:rFonts w:hint="eastAsia"/>
              </w:rPr>
            </w:pPr>
          </w:p>
        </w:tc>
        <w:tc>
          <w:tcPr>
            <w:tcW w:w="3260" w:type="dxa"/>
            <w:vAlign w:val="center"/>
          </w:tcPr>
          <w:p w14:paraId="2596ECE8">
            <w:pPr>
              <w:keepNext w:val="0"/>
              <w:keepLines w:val="0"/>
              <w:widowControl/>
              <w:suppressLineNumbers w:val="0"/>
              <w:spacing w:before="0" w:beforeAutospacing="0" w:after="0" w:afterAutospacing="0" w:line="240" w:lineRule="auto"/>
              <w:ind w:left="0" w:right="0"/>
              <w:jc w:val="center"/>
              <w:rPr>
                <w:rFonts w:hint="eastAsia"/>
              </w:rPr>
            </w:pPr>
            <w:r>
              <w:rPr>
                <w:rFonts w:hint="eastAsia"/>
              </w:rPr>
              <w:t>在院病例数据接口</w:t>
            </w:r>
          </w:p>
        </w:tc>
        <w:tc>
          <w:tcPr>
            <w:tcW w:w="1985" w:type="dxa"/>
            <w:vMerge w:val="continue"/>
            <w:vAlign w:val="center"/>
          </w:tcPr>
          <w:p w14:paraId="649A5E3C">
            <w:pPr>
              <w:keepNext w:val="0"/>
              <w:keepLines w:val="0"/>
              <w:widowControl/>
              <w:suppressLineNumbers w:val="0"/>
              <w:spacing w:before="0" w:beforeAutospacing="0" w:after="0" w:afterAutospacing="0" w:line="240" w:lineRule="auto"/>
              <w:ind w:left="0" w:right="0"/>
              <w:jc w:val="center"/>
              <w:rPr>
                <w:rFonts w:hint="eastAsia"/>
              </w:rPr>
            </w:pPr>
          </w:p>
        </w:tc>
        <w:tc>
          <w:tcPr>
            <w:tcW w:w="985" w:type="dxa"/>
            <w:vMerge w:val="continue"/>
            <w:vAlign w:val="center"/>
          </w:tcPr>
          <w:p w14:paraId="1DA73F5A">
            <w:pPr>
              <w:keepNext w:val="0"/>
              <w:keepLines w:val="0"/>
              <w:widowControl/>
              <w:suppressLineNumbers w:val="0"/>
              <w:spacing w:before="0" w:beforeAutospacing="0" w:after="0" w:afterAutospacing="0" w:line="240" w:lineRule="auto"/>
              <w:ind w:left="0" w:right="0"/>
              <w:jc w:val="center"/>
              <w:rPr>
                <w:rFonts w:hint="eastAsia"/>
              </w:rPr>
            </w:pPr>
          </w:p>
        </w:tc>
      </w:tr>
      <w:tr w14:paraId="3849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2417A102">
            <w:pPr>
              <w:keepNext w:val="0"/>
              <w:keepLines w:val="0"/>
              <w:widowControl/>
              <w:suppressLineNumbers w:val="0"/>
              <w:spacing w:before="0" w:beforeAutospacing="0" w:after="0" w:afterAutospacing="0" w:line="240" w:lineRule="auto"/>
              <w:ind w:left="0" w:right="0"/>
              <w:jc w:val="center"/>
              <w:rPr>
                <w:rFonts w:hint="eastAsia"/>
              </w:rPr>
            </w:pPr>
          </w:p>
        </w:tc>
        <w:tc>
          <w:tcPr>
            <w:tcW w:w="1701" w:type="dxa"/>
            <w:vMerge w:val="continue"/>
            <w:vAlign w:val="center"/>
          </w:tcPr>
          <w:p w14:paraId="020C1721">
            <w:pPr>
              <w:keepNext w:val="0"/>
              <w:keepLines w:val="0"/>
              <w:widowControl/>
              <w:suppressLineNumbers w:val="0"/>
              <w:spacing w:before="0" w:beforeAutospacing="0" w:after="0" w:afterAutospacing="0" w:line="240" w:lineRule="auto"/>
              <w:ind w:left="0" w:right="0"/>
              <w:jc w:val="center"/>
              <w:rPr>
                <w:rFonts w:hint="eastAsia"/>
              </w:rPr>
            </w:pPr>
          </w:p>
        </w:tc>
        <w:tc>
          <w:tcPr>
            <w:tcW w:w="3260" w:type="dxa"/>
            <w:vAlign w:val="center"/>
          </w:tcPr>
          <w:p w14:paraId="756410F6">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与HIS融合的系统接口</w:t>
            </w:r>
          </w:p>
        </w:tc>
        <w:tc>
          <w:tcPr>
            <w:tcW w:w="1985" w:type="dxa"/>
            <w:vMerge w:val="continue"/>
            <w:vAlign w:val="center"/>
          </w:tcPr>
          <w:p w14:paraId="23D26393">
            <w:pPr>
              <w:keepNext w:val="0"/>
              <w:keepLines w:val="0"/>
              <w:widowControl/>
              <w:suppressLineNumbers w:val="0"/>
              <w:spacing w:before="0" w:beforeAutospacing="0" w:after="0" w:afterAutospacing="0" w:line="240" w:lineRule="auto"/>
              <w:ind w:left="0" w:right="0"/>
              <w:jc w:val="center"/>
              <w:rPr>
                <w:rFonts w:hint="eastAsia"/>
                <w:lang w:eastAsia="zh-CN"/>
              </w:rPr>
            </w:pPr>
          </w:p>
        </w:tc>
        <w:tc>
          <w:tcPr>
            <w:tcW w:w="985" w:type="dxa"/>
            <w:vMerge w:val="continue"/>
            <w:vAlign w:val="center"/>
          </w:tcPr>
          <w:p w14:paraId="73235263">
            <w:pPr>
              <w:keepNext w:val="0"/>
              <w:keepLines w:val="0"/>
              <w:widowControl/>
              <w:suppressLineNumbers w:val="0"/>
              <w:spacing w:before="0" w:beforeAutospacing="0" w:after="0" w:afterAutospacing="0" w:line="240" w:lineRule="auto"/>
              <w:ind w:left="0" w:right="0"/>
              <w:jc w:val="center"/>
              <w:rPr>
                <w:rFonts w:hint="eastAsia"/>
                <w:lang w:eastAsia="zh-CN"/>
              </w:rPr>
            </w:pPr>
          </w:p>
        </w:tc>
      </w:tr>
    </w:tbl>
    <w:p w14:paraId="5CBDFA9C">
      <w:pPr>
        <w:rPr>
          <w:lang w:eastAsia="zh-CN"/>
        </w:rPr>
      </w:pPr>
      <w:r>
        <w:rPr>
          <w:rFonts w:ascii="黑体" w:hAnsi="黑体" w:eastAsia="黑体"/>
          <w:b/>
          <w:lang w:eastAsia="zh-CN"/>
        </w:rPr>
        <w:t>（二）配套硬件清单</w:t>
      </w:r>
    </w:p>
    <w:p w14:paraId="494AE9CB">
      <w:pPr>
        <w:rPr>
          <w:lang w:eastAsia="zh-CN"/>
        </w:rPr>
      </w:pPr>
      <w:r>
        <w:rPr>
          <w:lang w:eastAsia="zh-CN"/>
        </w:rPr>
        <w:t>▲注：以下硬件为原采购项目配套服务器，部署于中医医院本部机房，运行DRG及医保系统相关应用。本次维保包含硬件运行状态监控、操作系统维护、配置备份、故障协助排查；硬件整体维修更换费用由甲方另行承担。</w:t>
      </w:r>
    </w:p>
    <w:tbl>
      <w:tblPr>
        <w:tblStyle w:val="33"/>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4104"/>
        <w:gridCol w:w="2160"/>
      </w:tblGrid>
      <w:tr w14:paraId="2C2A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1E88C6E">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序号</w:t>
            </w:r>
          </w:p>
        </w:tc>
        <w:tc>
          <w:tcPr>
            <w:tcW w:w="1559" w:type="dxa"/>
          </w:tcPr>
          <w:p w14:paraId="4C9EA09A">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设备名称</w:t>
            </w:r>
          </w:p>
        </w:tc>
        <w:tc>
          <w:tcPr>
            <w:tcW w:w="4104" w:type="dxa"/>
          </w:tcPr>
          <w:p w14:paraId="6C2466A5">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配置说明</w:t>
            </w:r>
          </w:p>
        </w:tc>
        <w:tc>
          <w:tcPr>
            <w:tcW w:w="2160" w:type="dxa"/>
          </w:tcPr>
          <w:p w14:paraId="32D71689">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数量</w:t>
            </w:r>
          </w:p>
        </w:tc>
      </w:tr>
      <w:tr w14:paraId="16D9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51FE3B4">
            <w:pPr>
              <w:keepNext w:val="0"/>
              <w:keepLines w:val="0"/>
              <w:widowControl/>
              <w:suppressLineNumbers w:val="0"/>
              <w:spacing w:before="0" w:beforeAutospacing="0" w:after="0" w:afterAutospacing="0" w:line="240" w:lineRule="auto"/>
              <w:ind w:left="0" w:right="0"/>
              <w:jc w:val="center"/>
              <w:rPr>
                <w:rFonts w:hint="eastAsia"/>
              </w:rPr>
            </w:pPr>
            <w:r>
              <w:rPr>
                <w:rFonts w:hint="eastAsia"/>
              </w:rPr>
              <w:t>1</w:t>
            </w:r>
          </w:p>
        </w:tc>
        <w:tc>
          <w:tcPr>
            <w:tcW w:w="1559" w:type="dxa"/>
            <w:vAlign w:val="center"/>
          </w:tcPr>
          <w:p w14:paraId="4387F186">
            <w:pPr>
              <w:keepNext w:val="0"/>
              <w:keepLines w:val="0"/>
              <w:widowControl/>
              <w:suppressLineNumbers w:val="0"/>
              <w:spacing w:before="0" w:beforeAutospacing="0" w:after="0" w:afterAutospacing="0" w:line="240" w:lineRule="auto"/>
              <w:ind w:left="0" w:right="0"/>
              <w:jc w:val="center"/>
              <w:rPr>
                <w:rFonts w:hint="eastAsia"/>
              </w:rPr>
            </w:pPr>
            <w:r>
              <w:rPr>
                <w:rFonts w:hint="eastAsia"/>
              </w:rPr>
              <w:t>应用服务器</w:t>
            </w:r>
          </w:p>
        </w:tc>
        <w:tc>
          <w:tcPr>
            <w:tcW w:w="4104" w:type="dxa"/>
            <w:vAlign w:val="center"/>
          </w:tcPr>
          <w:p w14:paraId="2FCC49B6">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机架式服务器，搭载海光处理器，配置双机热备，运行DRG及医保系统应用服务</w:t>
            </w:r>
          </w:p>
        </w:tc>
        <w:tc>
          <w:tcPr>
            <w:tcW w:w="2160" w:type="dxa"/>
            <w:vAlign w:val="center"/>
          </w:tcPr>
          <w:p w14:paraId="54E2106D">
            <w:pPr>
              <w:keepNext w:val="0"/>
              <w:keepLines w:val="0"/>
              <w:widowControl/>
              <w:suppressLineNumbers w:val="0"/>
              <w:spacing w:before="0" w:beforeAutospacing="0" w:after="0" w:afterAutospacing="0" w:line="240" w:lineRule="auto"/>
              <w:ind w:left="0" w:right="0"/>
              <w:jc w:val="center"/>
              <w:rPr>
                <w:rFonts w:hint="eastAsia"/>
              </w:rPr>
            </w:pPr>
            <w:r>
              <w:rPr>
                <w:rFonts w:hint="eastAsia"/>
              </w:rPr>
              <w:t>2台</w:t>
            </w:r>
          </w:p>
        </w:tc>
      </w:tr>
    </w:tbl>
    <w:p w14:paraId="27F83FAC">
      <w:r>
        <w:rPr>
          <w:rFonts w:ascii="黑体" w:hAnsi="黑体" w:eastAsia="黑体"/>
          <w:b/>
        </w:rPr>
        <w:t>（三）技术兜底服务</w:t>
      </w:r>
    </w:p>
    <w:tbl>
      <w:tblPr>
        <w:tblStyle w:val="33"/>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4104"/>
        <w:gridCol w:w="2160"/>
      </w:tblGrid>
      <w:tr w14:paraId="571E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9D3E820">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序号</w:t>
            </w:r>
          </w:p>
        </w:tc>
        <w:tc>
          <w:tcPr>
            <w:tcW w:w="1559" w:type="dxa"/>
          </w:tcPr>
          <w:p w14:paraId="08B80486">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服务模块</w:t>
            </w:r>
          </w:p>
        </w:tc>
        <w:tc>
          <w:tcPr>
            <w:tcW w:w="4104" w:type="dxa"/>
          </w:tcPr>
          <w:p w14:paraId="227C39CB">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服务子项</w:t>
            </w:r>
          </w:p>
        </w:tc>
        <w:tc>
          <w:tcPr>
            <w:tcW w:w="2160" w:type="dxa"/>
          </w:tcPr>
          <w:p w14:paraId="1B9C19E0">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数量</w:t>
            </w:r>
          </w:p>
        </w:tc>
      </w:tr>
      <w:tr w14:paraId="79E00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DDCF4F3">
            <w:pPr>
              <w:keepNext w:val="0"/>
              <w:keepLines w:val="0"/>
              <w:widowControl/>
              <w:suppressLineNumbers w:val="0"/>
              <w:spacing w:before="0" w:beforeAutospacing="0" w:after="0" w:afterAutospacing="0" w:line="240" w:lineRule="auto"/>
              <w:ind w:left="0" w:right="0"/>
              <w:jc w:val="center"/>
              <w:rPr>
                <w:rFonts w:hint="eastAsia"/>
              </w:rPr>
            </w:pPr>
            <w:r>
              <w:rPr>
                <w:rFonts w:hint="eastAsia"/>
              </w:rPr>
              <w:t>1</w:t>
            </w:r>
          </w:p>
        </w:tc>
        <w:tc>
          <w:tcPr>
            <w:tcW w:w="1559" w:type="dxa"/>
            <w:vAlign w:val="center"/>
          </w:tcPr>
          <w:p w14:paraId="57E0BE81">
            <w:pPr>
              <w:keepNext w:val="0"/>
              <w:keepLines w:val="0"/>
              <w:widowControl/>
              <w:suppressLineNumbers w:val="0"/>
              <w:spacing w:before="0" w:beforeAutospacing="0" w:after="0" w:afterAutospacing="0" w:line="240" w:lineRule="auto"/>
              <w:ind w:left="0" w:right="0"/>
              <w:jc w:val="center"/>
              <w:rPr>
                <w:rFonts w:hint="eastAsia"/>
              </w:rPr>
            </w:pPr>
            <w:r>
              <w:rPr>
                <w:rFonts w:hint="eastAsia"/>
              </w:rPr>
              <w:t>应急响应</w:t>
            </w:r>
          </w:p>
        </w:tc>
        <w:tc>
          <w:tcPr>
            <w:tcW w:w="4104" w:type="dxa"/>
            <w:vAlign w:val="center"/>
          </w:tcPr>
          <w:p w14:paraId="32BC3414">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7×24小时应急热线；分级响应远程及到场处置</w:t>
            </w:r>
          </w:p>
        </w:tc>
        <w:tc>
          <w:tcPr>
            <w:tcW w:w="2160" w:type="dxa"/>
            <w:vAlign w:val="center"/>
          </w:tcPr>
          <w:p w14:paraId="53CB9EAF">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r w14:paraId="03CF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97B03B3">
            <w:pPr>
              <w:keepNext w:val="0"/>
              <w:keepLines w:val="0"/>
              <w:widowControl/>
              <w:suppressLineNumbers w:val="0"/>
              <w:spacing w:before="0" w:beforeAutospacing="0" w:after="0" w:afterAutospacing="0" w:line="240" w:lineRule="auto"/>
              <w:ind w:left="0" w:right="0"/>
              <w:jc w:val="center"/>
              <w:rPr>
                <w:rFonts w:hint="eastAsia"/>
              </w:rPr>
            </w:pPr>
            <w:r>
              <w:rPr>
                <w:rFonts w:hint="eastAsia"/>
              </w:rPr>
              <w:t>2</w:t>
            </w:r>
          </w:p>
        </w:tc>
        <w:tc>
          <w:tcPr>
            <w:tcW w:w="1559" w:type="dxa"/>
            <w:vAlign w:val="center"/>
          </w:tcPr>
          <w:p w14:paraId="3B1FBDB2">
            <w:pPr>
              <w:keepNext w:val="0"/>
              <w:keepLines w:val="0"/>
              <w:widowControl/>
              <w:suppressLineNumbers w:val="0"/>
              <w:spacing w:before="0" w:beforeAutospacing="0" w:after="0" w:afterAutospacing="0" w:line="240" w:lineRule="auto"/>
              <w:ind w:left="0" w:right="0"/>
              <w:jc w:val="center"/>
              <w:rPr>
                <w:rFonts w:hint="eastAsia"/>
              </w:rPr>
            </w:pPr>
            <w:r>
              <w:rPr>
                <w:rFonts w:hint="eastAsia"/>
              </w:rPr>
              <w:t>应急响应</w:t>
            </w:r>
          </w:p>
        </w:tc>
        <w:tc>
          <w:tcPr>
            <w:tcW w:w="4104" w:type="dxa"/>
            <w:vAlign w:val="center"/>
          </w:tcPr>
          <w:p w14:paraId="10266BF4">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应急响应报告（每次事件后3个工作日内提交）</w:t>
            </w:r>
          </w:p>
        </w:tc>
        <w:tc>
          <w:tcPr>
            <w:tcW w:w="2160" w:type="dxa"/>
            <w:vAlign w:val="center"/>
          </w:tcPr>
          <w:p w14:paraId="7EBFE050">
            <w:pPr>
              <w:keepNext w:val="0"/>
              <w:keepLines w:val="0"/>
              <w:widowControl/>
              <w:suppressLineNumbers w:val="0"/>
              <w:spacing w:before="0" w:beforeAutospacing="0" w:after="0" w:afterAutospacing="0" w:line="240" w:lineRule="auto"/>
              <w:ind w:left="0" w:right="0"/>
              <w:jc w:val="center"/>
              <w:rPr>
                <w:rFonts w:hint="eastAsia"/>
              </w:rPr>
            </w:pPr>
            <w:r>
              <w:rPr>
                <w:rFonts w:hint="eastAsia"/>
              </w:rPr>
              <w:t>按需</w:t>
            </w:r>
          </w:p>
        </w:tc>
      </w:tr>
      <w:tr w14:paraId="1931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8BBB311">
            <w:pPr>
              <w:keepNext w:val="0"/>
              <w:keepLines w:val="0"/>
              <w:widowControl/>
              <w:suppressLineNumbers w:val="0"/>
              <w:spacing w:before="0" w:beforeAutospacing="0" w:after="0" w:afterAutospacing="0" w:line="240" w:lineRule="auto"/>
              <w:ind w:left="0" w:right="0"/>
              <w:jc w:val="center"/>
              <w:rPr>
                <w:rFonts w:hint="eastAsia"/>
              </w:rPr>
            </w:pPr>
            <w:r>
              <w:rPr>
                <w:rFonts w:hint="eastAsia"/>
              </w:rPr>
              <w:t>3</w:t>
            </w:r>
          </w:p>
        </w:tc>
        <w:tc>
          <w:tcPr>
            <w:tcW w:w="1559" w:type="dxa"/>
            <w:vAlign w:val="center"/>
          </w:tcPr>
          <w:p w14:paraId="6687572A">
            <w:pPr>
              <w:keepNext w:val="0"/>
              <w:keepLines w:val="0"/>
              <w:widowControl/>
              <w:suppressLineNumbers w:val="0"/>
              <w:spacing w:before="0" w:beforeAutospacing="0" w:after="0" w:afterAutospacing="0" w:line="240" w:lineRule="auto"/>
              <w:ind w:left="0" w:right="0"/>
              <w:jc w:val="center"/>
              <w:rPr>
                <w:rFonts w:hint="eastAsia"/>
              </w:rPr>
            </w:pPr>
            <w:r>
              <w:rPr>
                <w:rFonts w:hint="eastAsia"/>
              </w:rPr>
              <w:t>规则库更新</w:t>
            </w:r>
          </w:p>
        </w:tc>
        <w:tc>
          <w:tcPr>
            <w:tcW w:w="4104" w:type="dxa"/>
            <w:vAlign w:val="center"/>
          </w:tcPr>
          <w:p w14:paraId="5EC3BB8E">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DRG分组器版本更新（国家/广西政策调整后15个工作日内完成两院区更新）</w:t>
            </w:r>
          </w:p>
        </w:tc>
        <w:tc>
          <w:tcPr>
            <w:tcW w:w="2160" w:type="dxa"/>
            <w:vAlign w:val="center"/>
          </w:tcPr>
          <w:p w14:paraId="2394388A">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r w14:paraId="517F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9CA01C0">
            <w:pPr>
              <w:keepNext w:val="0"/>
              <w:keepLines w:val="0"/>
              <w:widowControl/>
              <w:suppressLineNumbers w:val="0"/>
              <w:spacing w:before="0" w:beforeAutospacing="0" w:after="0" w:afterAutospacing="0" w:line="240" w:lineRule="auto"/>
              <w:ind w:left="0" w:right="0"/>
              <w:jc w:val="center"/>
              <w:rPr>
                <w:rFonts w:hint="eastAsia"/>
              </w:rPr>
            </w:pPr>
            <w:r>
              <w:rPr>
                <w:rFonts w:hint="eastAsia"/>
              </w:rPr>
              <w:t>4</w:t>
            </w:r>
          </w:p>
        </w:tc>
        <w:tc>
          <w:tcPr>
            <w:tcW w:w="1559" w:type="dxa"/>
            <w:vAlign w:val="center"/>
          </w:tcPr>
          <w:p w14:paraId="65A79E49">
            <w:pPr>
              <w:keepNext w:val="0"/>
              <w:keepLines w:val="0"/>
              <w:widowControl/>
              <w:suppressLineNumbers w:val="0"/>
              <w:spacing w:before="0" w:beforeAutospacing="0" w:after="0" w:afterAutospacing="0" w:line="240" w:lineRule="auto"/>
              <w:ind w:left="0" w:right="0"/>
              <w:jc w:val="center"/>
              <w:rPr>
                <w:rFonts w:hint="eastAsia"/>
              </w:rPr>
            </w:pPr>
            <w:r>
              <w:rPr>
                <w:rFonts w:hint="eastAsia"/>
              </w:rPr>
              <w:t>规则库更新</w:t>
            </w:r>
          </w:p>
        </w:tc>
        <w:tc>
          <w:tcPr>
            <w:tcW w:w="4104" w:type="dxa"/>
            <w:vAlign w:val="center"/>
          </w:tcPr>
          <w:p w14:paraId="715B7550">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医保结算清单质控规则库动态更新</w:t>
            </w:r>
          </w:p>
        </w:tc>
        <w:tc>
          <w:tcPr>
            <w:tcW w:w="2160" w:type="dxa"/>
            <w:vAlign w:val="center"/>
          </w:tcPr>
          <w:p w14:paraId="35B732ED">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r w14:paraId="0777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9CA1E05">
            <w:pPr>
              <w:keepNext w:val="0"/>
              <w:keepLines w:val="0"/>
              <w:widowControl/>
              <w:suppressLineNumbers w:val="0"/>
              <w:spacing w:before="0" w:beforeAutospacing="0" w:after="0" w:afterAutospacing="0" w:line="240" w:lineRule="auto"/>
              <w:ind w:left="0" w:right="0"/>
              <w:jc w:val="center"/>
              <w:rPr>
                <w:rFonts w:hint="eastAsia"/>
              </w:rPr>
            </w:pPr>
            <w:r>
              <w:rPr>
                <w:rFonts w:hint="eastAsia"/>
              </w:rPr>
              <w:t>5</w:t>
            </w:r>
          </w:p>
        </w:tc>
        <w:tc>
          <w:tcPr>
            <w:tcW w:w="1559" w:type="dxa"/>
            <w:vAlign w:val="center"/>
          </w:tcPr>
          <w:p w14:paraId="12B599C6">
            <w:pPr>
              <w:keepNext w:val="0"/>
              <w:keepLines w:val="0"/>
              <w:widowControl/>
              <w:suppressLineNumbers w:val="0"/>
              <w:spacing w:before="0" w:beforeAutospacing="0" w:after="0" w:afterAutospacing="0" w:line="240" w:lineRule="auto"/>
              <w:ind w:left="0" w:right="0"/>
              <w:jc w:val="center"/>
              <w:rPr>
                <w:rFonts w:hint="eastAsia"/>
              </w:rPr>
            </w:pPr>
            <w:r>
              <w:rPr>
                <w:rFonts w:hint="eastAsia"/>
              </w:rPr>
              <w:t>规则库更新</w:t>
            </w:r>
          </w:p>
        </w:tc>
        <w:tc>
          <w:tcPr>
            <w:tcW w:w="4104" w:type="dxa"/>
            <w:vAlign w:val="center"/>
          </w:tcPr>
          <w:p w14:paraId="7138D5DD">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医保基金监控审核规则库动态更新（适配最新医保基金监管政策）</w:t>
            </w:r>
          </w:p>
        </w:tc>
        <w:tc>
          <w:tcPr>
            <w:tcW w:w="2160" w:type="dxa"/>
            <w:vAlign w:val="center"/>
          </w:tcPr>
          <w:p w14:paraId="530579FA">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r w14:paraId="68EA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63020B8">
            <w:pPr>
              <w:keepNext w:val="0"/>
              <w:keepLines w:val="0"/>
              <w:widowControl/>
              <w:suppressLineNumbers w:val="0"/>
              <w:spacing w:before="0" w:beforeAutospacing="0" w:after="0" w:afterAutospacing="0" w:line="240" w:lineRule="auto"/>
              <w:ind w:left="0" w:right="0"/>
              <w:jc w:val="center"/>
              <w:rPr>
                <w:rFonts w:hint="eastAsia"/>
              </w:rPr>
            </w:pPr>
            <w:r>
              <w:rPr>
                <w:rFonts w:hint="eastAsia"/>
              </w:rPr>
              <w:t>6</w:t>
            </w:r>
          </w:p>
        </w:tc>
        <w:tc>
          <w:tcPr>
            <w:tcW w:w="1559" w:type="dxa"/>
            <w:vAlign w:val="center"/>
          </w:tcPr>
          <w:p w14:paraId="71D2DB13">
            <w:pPr>
              <w:keepNext w:val="0"/>
              <w:keepLines w:val="0"/>
              <w:widowControl/>
              <w:suppressLineNumbers w:val="0"/>
              <w:spacing w:before="0" w:beforeAutospacing="0" w:after="0" w:afterAutospacing="0" w:line="240" w:lineRule="auto"/>
              <w:ind w:left="0" w:right="0"/>
              <w:jc w:val="center"/>
              <w:rPr>
                <w:rFonts w:hint="eastAsia"/>
              </w:rPr>
            </w:pPr>
            <w:r>
              <w:rPr>
                <w:rFonts w:hint="eastAsia"/>
              </w:rPr>
              <w:t>功能维护</w:t>
            </w:r>
          </w:p>
        </w:tc>
        <w:tc>
          <w:tcPr>
            <w:tcW w:w="4104" w:type="dxa"/>
            <w:vAlign w:val="center"/>
          </w:tcPr>
          <w:p w14:paraId="256186CF">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系统功能缺陷修复及性能优化</w:t>
            </w:r>
          </w:p>
        </w:tc>
        <w:tc>
          <w:tcPr>
            <w:tcW w:w="2160" w:type="dxa"/>
            <w:vAlign w:val="center"/>
          </w:tcPr>
          <w:p w14:paraId="53F53356">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r w14:paraId="15A3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7D16296">
            <w:pPr>
              <w:keepNext w:val="0"/>
              <w:keepLines w:val="0"/>
              <w:widowControl/>
              <w:suppressLineNumbers w:val="0"/>
              <w:spacing w:before="0" w:beforeAutospacing="0" w:after="0" w:afterAutospacing="0" w:line="240" w:lineRule="auto"/>
              <w:ind w:left="0" w:right="0"/>
              <w:jc w:val="center"/>
              <w:rPr>
                <w:rFonts w:hint="eastAsia"/>
              </w:rPr>
            </w:pPr>
            <w:r>
              <w:rPr>
                <w:rFonts w:hint="eastAsia"/>
              </w:rPr>
              <w:t>7</w:t>
            </w:r>
          </w:p>
        </w:tc>
        <w:tc>
          <w:tcPr>
            <w:tcW w:w="1559" w:type="dxa"/>
            <w:vAlign w:val="center"/>
          </w:tcPr>
          <w:p w14:paraId="3C1B2537">
            <w:pPr>
              <w:keepNext w:val="0"/>
              <w:keepLines w:val="0"/>
              <w:widowControl/>
              <w:suppressLineNumbers w:val="0"/>
              <w:spacing w:before="0" w:beforeAutospacing="0" w:after="0" w:afterAutospacing="0" w:line="240" w:lineRule="auto"/>
              <w:ind w:left="0" w:right="0"/>
              <w:jc w:val="center"/>
              <w:rPr>
                <w:rFonts w:hint="eastAsia"/>
              </w:rPr>
            </w:pPr>
            <w:r>
              <w:rPr>
                <w:rFonts w:hint="eastAsia"/>
              </w:rPr>
              <w:t>数据接口维护</w:t>
            </w:r>
          </w:p>
        </w:tc>
        <w:tc>
          <w:tcPr>
            <w:tcW w:w="4104" w:type="dxa"/>
            <w:vAlign w:val="center"/>
          </w:tcPr>
          <w:p w14:paraId="2ADE90FE">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HIS系统升级或改造时的接口适配联调</w:t>
            </w:r>
          </w:p>
        </w:tc>
        <w:tc>
          <w:tcPr>
            <w:tcW w:w="2160" w:type="dxa"/>
            <w:vAlign w:val="center"/>
          </w:tcPr>
          <w:p w14:paraId="3B7C807D">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r w14:paraId="50F2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278CFEA">
            <w:pPr>
              <w:keepNext w:val="0"/>
              <w:keepLines w:val="0"/>
              <w:widowControl/>
              <w:suppressLineNumbers w:val="0"/>
              <w:spacing w:before="0" w:beforeAutospacing="0" w:after="0" w:afterAutospacing="0" w:line="240" w:lineRule="auto"/>
              <w:ind w:left="0" w:right="0"/>
              <w:jc w:val="center"/>
              <w:rPr>
                <w:rFonts w:hint="eastAsia"/>
              </w:rPr>
            </w:pPr>
            <w:r>
              <w:rPr>
                <w:rFonts w:hint="eastAsia"/>
              </w:rPr>
              <w:t>8</w:t>
            </w:r>
          </w:p>
        </w:tc>
        <w:tc>
          <w:tcPr>
            <w:tcW w:w="1559" w:type="dxa"/>
            <w:vAlign w:val="center"/>
          </w:tcPr>
          <w:p w14:paraId="05A1E0B8">
            <w:pPr>
              <w:keepNext w:val="0"/>
              <w:keepLines w:val="0"/>
              <w:widowControl/>
              <w:suppressLineNumbers w:val="0"/>
              <w:spacing w:before="0" w:beforeAutospacing="0" w:after="0" w:afterAutospacing="0" w:line="240" w:lineRule="auto"/>
              <w:ind w:left="0" w:right="0"/>
              <w:jc w:val="center"/>
              <w:rPr>
                <w:rFonts w:hint="eastAsia"/>
              </w:rPr>
            </w:pPr>
            <w:r>
              <w:rPr>
                <w:rFonts w:hint="eastAsia"/>
              </w:rPr>
              <w:t>数据接口维护</w:t>
            </w:r>
          </w:p>
        </w:tc>
        <w:tc>
          <w:tcPr>
            <w:tcW w:w="4104" w:type="dxa"/>
            <w:vAlign w:val="center"/>
          </w:tcPr>
          <w:p w14:paraId="512279B9">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医保信息平台对接稳定性保障及政策调整适配</w:t>
            </w:r>
          </w:p>
        </w:tc>
        <w:tc>
          <w:tcPr>
            <w:tcW w:w="2160" w:type="dxa"/>
            <w:vAlign w:val="center"/>
          </w:tcPr>
          <w:p w14:paraId="47149BF4">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r w14:paraId="37E1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F45412D">
            <w:pPr>
              <w:keepNext w:val="0"/>
              <w:keepLines w:val="0"/>
              <w:widowControl/>
              <w:suppressLineNumbers w:val="0"/>
              <w:spacing w:before="0" w:beforeAutospacing="0" w:after="0" w:afterAutospacing="0" w:line="240" w:lineRule="auto"/>
              <w:ind w:left="0" w:right="0"/>
              <w:jc w:val="center"/>
              <w:rPr>
                <w:rFonts w:hint="eastAsia"/>
              </w:rPr>
            </w:pPr>
            <w:r>
              <w:rPr>
                <w:rFonts w:hint="eastAsia"/>
              </w:rPr>
              <w:t>9</w:t>
            </w:r>
          </w:p>
        </w:tc>
        <w:tc>
          <w:tcPr>
            <w:tcW w:w="1559" w:type="dxa"/>
            <w:vAlign w:val="center"/>
          </w:tcPr>
          <w:p w14:paraId="3500D1E8">
            <w:pPr>
              <w:keepNext w:val="0"/>
              <w:keepLines w:val="0"/>
              <w:widowControl/>
              <w:suppressLineNumbers w:val="0"/>
              <w:spacing w:before="0" w:beforeAutospacing="0" w:after="0" w:afterAutospacing="0" w:line="240" w:lineRule="auto"/>
              <w:ind w:left="0" w:right="0"/>
              <w:jc w:val="center"/>
              <w:rPr>
                <w:rFonts w:hint="eastAsia"/>
              </w:rPr>
            </w:pPr>
            <w:r>
              <w:rPr>
                <w:rFonts w:hint="eastAsia"/>
              </w:rPr>
              <w:t>硬件维护</w:t>
            </w:r>
          </w:p>
        </w:tc>
        <w:tc>
          <w:tcPr>
            <w:tcW w:w="4104" w:type="dxa"/>
            <w:vAlign w:val="center"/>
          </w:tcPr>
          <w:p w14:paraId="7292FAB8">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服务器运行状态监控、操作系统维护、配置备份、故障协助排查</w:t>
            </w:r>
          </w:p>
        </w:tc>
        <w:tc>
          <w:tcPr>
            <w:tcW w:w="2160" w:type="dxa"/>
            <w:vAlign w:val="center"/>
          </w:tcPr>
          <w:p w14:paraId="67305016">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bl>
    <w:p w14:paraId="389BCFBE">
      <w:r>
        <w:rPr>
          <w:rFonts w:ascii="黑体" w:hAnsi="黑体" w:eastAsia="黑体"/>
          <w:b/>
        </w:rPr>
        <w:t>（四）安全合规服务</w:t>
      </w:r>
    </w:p>
    <w:tbl>
      <w:tblPr>
        <w:tblStyle w:val="33"/>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985"/>
        <w:gridCol w:w="3678"/>
        <w:gridCol w:w="2160"/>
      </w:tblGrid>
      <w:tr w14:paraId="32DF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5CA1767">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序号</w:t>
            </w:r>
          </w:p>
        </w:tc>
        <w:tc>
          <w:tcPr>
            <w:tcW w:w="1985" w:type="dxa"/>
          </w:tcPr>
          <w:p w14:paraId="37A9AF33">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服务模块</w:t>
            </w:r>
          </w:p>
        </w:tc>
        <w:tc>
          <w:tcPr>
            <w:tcW w:w="3678" w:type="dxa"/>
          </w:tcPr>
          <w:p w14:paraId="1A43BB56">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服务子项</w:t>
            </w:r>
          </w:p>
        </w:tc>
        <w:tc>
          <w:tcPr>
            <w:tcW w:w="2160" w:type="dxa"/>
          </w:tcPr>
          <w:p w14:paraId="68F94ECF">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数量</w:t>
            </w:r>
          </w:p>
        </w:tc>
      </w:tr>
      <w:tr w14:paraId="0617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DB43A28">
            <w:pPr>
              <w:keepNext w:val="0"/>
              <w:keepLines w:val="0"/>
              <w:widowControl/>
              <w:suppressLineNumbers w:val="0"/>
              <w:spacing w:before="0" w:beforeAutospacing="0" w:after="0" w:afterAutospacing="0" w:line="240" w:lineRule="auto"/>
              <w:ind w:left="0" w:right="0"/>
              <w:jc w:val="center"/>
              <w:rPr>
                <w:rFonts w:hint="eastAsia"/>
              </w:rPr>
            </w:pPr>
            <w:r>
              <w:rPr>
                <w:rFonts w:hint="eastAsia"/>
              </w:rPr>
              <w:t>10</w:t>
            </w:r>
          </w:p>
        </w:tc>
        <w:tc>
          <w:tcPr>
            <w:tcW w:w="1985" w:type="dxa"/>
            <w:vAlign w:val="center"/>
          </w:tcPr>
          <w:p w14:paraId="4E7611E1">
            <w:pPr>
              <w:keepNext w:val="0"/>
              <w:keepLines w:val="0"/>
              <w:widowControl/>
              <w:suppressLineNumbers w:val="0"/>
              <w:spacing w:before="0" w:beforeAutospacing="0" w:after="0" w:afterAutospacing="0" w:line="240" w:lineRule="auto"/>
              <w:ind w:left="0" w:right="0"/>
              <w:jc w:val="center"/>
              <w:rPr>
                <w:rFonts w:hint="eastAsia"/>
              </w:rPr>
            </w:pPr>
            <w:r>
              <w:rPr>
                <w:rFonts w:hint="eastAsia"/>
              </w:rPr>
              <w:t>政策适配配合</w:t>
            </w:r>
          </w:p>
        </w:tc>
        <w:tc>
          <w:tcPr>
            <w:tcW w:w="3678" w:type="dxa"/>
            <w:vAlign w:val="center"/>
          </w:tcPr>
          <w:p w14:paraId="3B5A2716">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国家/广西医保政策调整后，配合完成系统规则适配及数据验证</w:t>
            </w:r>
          </w:p>
        </w:tc>
        <w:tc>
          <w:tcPr>
            <w:tcW w:w="2160" w:type="dxa"/>
            <w:vAlign w:val="center"/>
          </w:tcPr>
          <w:p w14:paraId="6CBB8A97">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r w14:paraId="5A9A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B386763">
            <w:pPr>
              <w:keepNext w:val="0"/>
              <w:keepLines w:val="0"/>
              <w:widowControl/>
              <w:suppressLineNumbers w:val="0"/>
              <w:spacing w:before="0" w:beforeAutospacing="0" w:after="0" w:afterAutospacing="0" w:line="240" w:lineRule="auto"/>
              <w:ind w:left="0" w:right="0"/>
              <w:jc w:val="center"/>
              <w:rPr>
                <w:rFonts w:hint="eastAsia"/>
              </w:rPr>
            </w:pPr>
            <w:r>
              <w:rPr>
                <w:rFonts w:hint="eastAsia"/>
              </w:rPr>
              <w:t>11</w:t>
            </w:r>
          </w:p>
        </w:tc>
        <w:tc>
          <w:tcPr>
            <w:tcW w:w="1985" w:type="dxa"/>
            <w:vAlign w:val="center"/>
          </w:tcPr>
          <w:p w14:paraId="0AA61684">
            <w:pPr>
              <w:keepNext w:val="0"/>
              <w:keepLines w:val="0"/>
              <w:widowControl/>
              <w:suppressLineNumbers w:val="0"/>
              <w:spacing w:before="0" w:beforeAutospacing="0" w:after="0" w:afterAutospacing="0" w:line="240" w:lineRule="auto"/>
              <w:ind w:left="0" w:right="0"/>
              <w:jc w:val="center"/>
              <w:rPr>
                <w:rFonts w:hint="eastAsia"/>
              </w:rPr>
            </w:pPr>
            <w:r>
              <w:rPr>
                <w:rFonts w:hint="eastAsia"/>
              </w:rPr>
              <w:t>数据上报配合</w:t>
            </w:r>
          </w:p>
        </w:tc>
        <w:tc>
          <w:tcPr>
            <w:tcW w:w="3678" w:type="dxa"/>
            <w:vAlign w:val="center"/>
          </w:tcPr>
          <w:p w14:paraId="71265B54">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配合医保科完成医保结算清单、DRG分组等数据上报的技术支持</w:t>
            </w:r>
          </w:p>
        </w:tc>
        <w:tc>
          <w:tcPr>
            <w:tcW w:w="2160" w:type="dxa"/>
            <w:vAlign w:val="center"/>
          </w:tcPr>
          <w:p w14:paraId="6F668B1B">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r w14:paraId="2C30C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AB38B40">
            <w:pPr>
              <w:keepNext w:val="0"/>
              <w:keepLines w:val="0"/>
              <w:widowControl/>
              <w:suppressLineNumbers w:val="0"/>
              <w:spacing w:before="0" w:beforeAutospacing="0" w:after="0" w:afterAutospacing="0" w:line="240" w:lineRule="auto"/>
              <w:ind w:left="0" w:right="0"/>
              <w:jc w:val="center"/>
              <w:rPr>
                <w:rFonts w:hint="eastAsia"/>
              </w:rPr>
            </w:pPr>
            <w:r>
              <w:rPr>
                <w:rFonts w:hint="eastAsia"/>
              </w:rPr>
              <w:t>12</w:t>
            </w:r>
          </w:p>
        </w:tc>
        <w:tc>
          <w:tcPr>
            <w:tcW w:w="1985" w:type="dxa"/>
            <w:vAlign w:val="center"/>
          </w:tcPr>
          <w:p w14:paraId="62F0A70A">
            <w:pPr>
              <w:keepNext w:val="0"/>
              <w:keepLines w:val="0"/>
              <w:widowControl/>
              <w:suppressLineNumbers w:val="0"/>
              <w:spacing w:before="0" w:beforeAutospacing="0" w:after="0" w:afterAutospacing="0" w:line="240" w:lineRule="auto"/>
              <w:ind w:left="0" w:right="0"/>
              <w:jc w:val="center"/>
              <w:rPr>
                <w:rFonts w:hint="eastAsia"/>
              </w:rPr>
            </w:pPr>
            <w:r>
              <w:rPr>
                <w:rFonts w:hint="eastAsia"/>
              </w:rPr>
              <w:t>检查配合</w:t>
            </w:r>
          </w:p>
        </w:tc>
        <w:tc>
          <w:tcPr>
            <w:tcW w:w="3678" w:type="dxa"/>
            <w:vAlign w:val="center"/>
          </w:tcPr>
          <w:p w14:paraId="0D6B847E">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医保飞行检查、专项检查等涉及本系统的技术配合及数据提取</w:t>
            </w:r>
          </w:p>
        </w:tc>
        <w:tc>
          <w:tcPr>
            <w:tcW w:w="2160" w:type="dxa"/>
            <w:vAlign w:val="center"/>
          </w:tcPr>
          <w:p w14:paraId="46D4C2CF">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bl>
    <w:p w14:paraId="68761C85">
      <w:r>
        <w:rPr>
          <w:rFonts w:ascii="黑体" w:hAnsi="黑体" w:eastAsia="黑体"/>
          <w:b/>
        </w:rPr>
        <w:t>（五）基础运营服务</w:t>
      </w:r>
    </w:p>
    <w:tbl>
      <w:tblPr>
        <w:tblStyle w:val="33"/>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985"/>
        <w:gridCol w:w="3678"/>
        <w:gridCol w:w="2160"/>
      </w:tblGrid>
      <w:tr w14:paraId="12AA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02FDE0D">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序号</w:t>
            </w:r>
          </w:p>
        </w:tc>
        <w:tc>
          <w:tcPr>
            <w:tcW w:w="1985" w:type="dxa"/>
          </w:tcPr>
          <w:p w14:paraId="0E02FE3D">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服务模块</w:t>
            </w:r>
          </w:p>
        </w:tc>
        <w:tc>
          <w:tcPr>
            <w:tcW w:w="3678" w:type="dxa"/>
          </w:tcPr>
          <w:p w14:paraId="55CA0341">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服务子项</w:t>
            </w:r>
          </w:p>
        </w:tc>
        <w:tc>
          <w:tcPr>
            <w:tcW w:w="2160" w:type="dxa"/>
          </w:tcPr>
          <w:p w14:paraId="2FAED9A7">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数量</w:t>
            </w:r>
          </w:p>
        </w:tc>
      </w:tr>
      <w:tr w14:paraId="7836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5CC135C">
            <w:pPr>
              <w:keepNext w:val="0"/>
              <w:keepLines w:val="0"/>
              <w:widowControl/>
              <w:suppressLineNumbers w:val="0"/>
              <w:spacing w:before="0" w:beforeAutospacing="0" w:after="0" w:afterAutospacing="0" w:line="240" w:lineRule="auto"/>
              <w:ind w:left="0" w:right="0"/>
              <w:jc w:val="center"/>
              <w:rPr>
                <w:rFonts w:hint="eastAsia"/>
              </w:rPr>
            </w:pPr>
            <w:r>
              <w:rPr>
                <w:rFonts w:hint="eastAsia"/>
              </w:rPr>
              <w:t>13</w:t>
            </w:r>
          </w:p>
        </w:tc>
        <w:tc>
          <w:tcPr>
            <w:tcW w:w="1985" w:type="dxa"/>
            <w:vAlign w:val="center"/>
          </w:tcPr>
          <w:p w14:paraId="7F150082">
            <w:pPr>
              <w:keepNext w:val="0"/>
              <w:keepLines w:val="0"/>
              <w:widowControl/>
              <w:suppressLineNumbers w:val="0"/>
              <w:spacing w:before="0" w:beforeAutospacing="0" w:after="0" w:afterAutospacing="0" w:line="240" w:lineRule="auto"/>
              <w:ind w:left="0" w:right="0"/>
              <w:jc w:val="center"/>
              <w:rPr>
                <w:rFonts w:hint="eastAsia"/>
              </w:rPr>
            </w:pPr>
            <w:r>
              <w:rPr>
                <w:rFonts w:hint="eastAsia"/>
              </w:rPr>
              <w:t>首次基线交付</w:t>
            </w:r>
          </w:p>
        </w:tc>
        <w:tc>
          <w:tcPr>
            <w:tcW w:w="3678" w:type="dxa"/>
            <w:vAlign w:val="center"/>
          </w:tcPr>
          <w:p w14:paraId="16447D64">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进场1个月内完成系统现状摸底、资产梳理及基线报告提交，制定全年维保计划</w:t>
            </w:r>
          </w:p>
        </w:tc>
        <w:tc>
          <w:tcPr>
            <w:tcW w:w="2160" w:type="dxa"/>
            <w:vAlign w:val="center"/>
          </w:tcPr>
          <w:p w14:paraId="19BB379F">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r w14:paraId="3F00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3E26629">
            <w:pPr>
              <w:keepNext w:val="0"/>
              <w:keepLines w:val="0"/>
              <w:widowControl/>
              <w:suppressLineNumbers w:val="0"/>
              <w:spacing w:before="0" w:beforeAutospacing="0" w:after="0" w:afterAutospacing="0" w:line="240" w:lineRule="auto"/>
              <w:ind w:left="0" w:right="0"/>
              <w:jc w:val="center"/>
              <w:rPr>
                <w:rFonts w:hint="eastAsia"/>
              </w:rPr>
            </w:pPr>
            <w:r>
              <w:rPr>
                <w:rFonts w:hint="eastAsia"/>
              </w:rPr>
              <w:t>14</w:t>
            </w:r>
          </w:p>
        </w:tc>
        <w:tc>
          <w:tcPr>
            <w:tcW w:w="1985" w:type="dxa"/>
            <w:vAlign w:val="center"/>
          </w:tcPr>
          <w:p w14:paraId="4A496EC3">
            <w:pPr>
              <w:keepNext w:val="0"/>
              <w:keepLines w:val="0"/>
              <w:widowControl/>
              <w:suppressLineNumbers w:val="0"/>
              <w:spacing w:before="0" w:beforeAutospacing="0" w:after="0" w:afterAutospacing="0" w:line="240" w:lineRule="auto"/>
              <w:ind w:left="0" w:right="0"/>
              <w:jc w:val="center"/>
              <w:rPr>
                <w:rFonts w:hint="eastAsia"/>
              </w:rPr>
            </w:pPr>
            <w:r>
              <w:rPr>
                <w:rFonts w:hint="eastAsia"/>
              </w:rPr>
              <w:t>系统巡检</w:t>
            </w:r>
          </w:p>
        </w:tc>
        <w:tc>
          <w:tcPr>
            <w:tcW w:w="3678" w:type="dxa"/>
            <w:vAlign w:val="center"/>
          </w:tcPr>
          <w:p w14:paraId="6BFF5FF8">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月度远程巡检（系统运行状态、数据同步情况、日志分析）</w:t>
            </w:r>
          </w:p>
        </w:tc>
        <w:tc>
          <w:tcPr>
            <w:tcW w:w="2160" w:type="dxa"/>
            <w:vAlign w:val="center"/>
          </w:tcPr>
          <w:p w14:paraId="0F392715">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r w14:paraId="25F17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4B0922E">
            <w:pPr>
              <w:keepNext w:val="0"/>
              <w:keepLines w:val="0"/>
              <w:widowControl/>
              <w:suppressLineNumbers w:val="0"/>
              <w:spacing w:before="0" w:beforeAutospacing="0" w:after="0" w:afterAutospacing="0" w:line="240" w:lineRule="auto"/>
              <w:ind w:left="0" w:right="0"/>
              <w:jc w:val="center"/>
              <w:rPr>
                <w:rFonts w:hint="eastAsia"/>
              </w:rPr>
            </w:pPr>
            <w:r>
              <w:rPr>
                <w:rFonts w:hint="eastAsia"/>
              </w:rPr>
              <w:t>15</w:t>
            </w:r>
          </w:p>
        </w:tc>
        <w:tc>
          <w:tcPr>
            <w:tcW w:w="1985" w:type="dxa"/>
            <w:vAlign w:val="center"/>
          </w:tcPr>
          <w:p w14:paraId="78CE22AA">
            <w:pPr>
              <w:keepNext w:val="0"/>
              <w:keepLines w:val="0"/>
              <w:widowControl/>
              <w:suppressLineNumbers w:val="0"/>
              <w:spacing w:before="0" w:beforeAutospacing="0" w:after="0" w:afterAutospacing="0" w:line="240" w:lineRule="auto"/>
              <w:ind w:left="0" w:right="0"/>
              <w:jc w:val="center"/>
              <w:rPr>
                <w:rFonts w:hint="eastAsia"/>
              </w:rPr>
            </w:pPr>
            <w:r>
              <w:rPr>
                <w:rFonts w:hint="eastAsia"/>
              </w:rPr>
              <w:t>系统巡检</w:t>
            </w:r>
          </w:p>
        </w:tc>
        <w:tc>
          <w:tcPr>
            <w:tcW w:w="3678" w:type="dxa"/>
            <w:vAlign w:val="center"/>
          </w:tcPr>
          <w:p w14:paraId="56CB7DAC">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季度现场深度巡检（功能验证、规则准确性抽检、性能评估）</w:t>
            </w:r>
          </w:p>
        </w:tc>
        <w:tc>
          <w:tcPr>
            <w:tcW w:w="2160" w:type="dxa"/>
            <w:vAlign w:val="center"/>
          </w:tcPr>
          <w:p w14:paraId="0697C95A">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r w14:paraId="536E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E88C18A">
            <w:pPr>
              <w:keepNext w:val="0"/>
              <w:keepLines w:val="0"/>
              <w:widowControl/>
              <w:suppressLineNumbers w:val="0"/>
              <w:spacing w:before="0" w:beforeAutospacing="0" w:after="0" w:afterAutospacing="0" w:line="240" w:lineRule="auto"/>
              <w:ind w:left="0" w:right="0"/>
              <w:jc w:val="center"/>
              <w:rPr>
                <w:rFonts w:hint="eastAsia"/>
              </w:rPr>
            </w:pPr>
            <w:r>
              <w:rPr>
                <w:rFonts w:hint="eastAsia"/>
              </w:rPr>
              <w:t>16</w:t>
            </w:r>
          </w:p>
        </w:tc>
        <w:tc>
          <w:tcPr>
            <w:tcW w:w="1985" w:type="dxa"/>
            <w:vAlign w:val="center"/>
          </w:tcPr>
          <w:p w14:paraId="460DCB66">
            <w:pPr>
              <w:keepNext w:val="0"/>
              <w:keepLines w:val="0"/>
              <w:widowControl/>
              <w:suppressLineNumbers w:val="0"/>
              <w:spacing w:before="0" w:beforeAutospacing="0" w:after="0" w:afterAutospacing="0" w:line="240" w:lineRule="auto"/>
              <w:ind w:left="0" w:right="0"/>
              <w:jc w:val="center"/>
              <w:rPr>
                <w:rFonts w:hint="eastAsia"/>
              </w:rPr>
            </w:pPr>
            <w:r>
              <w:rPr>
                <w:rFonts w:hint="eastAsia"/>
              </w:rPr>
              <w:t>配置备份</w:t>
            </w:r>
          </w:p>
        </w:tc>
        <w:tc>
          <w:tcPr>
            <w:tcW w:w="3678" w:type="dxa"/>
            <w:vAlign w:val="center"/>
          </w:tcPr>
          <w:p w14:paraId="4A216CEE">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月度远程备份系统配置及数据库，季度现场核查备份有效性</w:t>
            </w:r>
          </w:p>
        </w:tc>
        <w:tc>
          <w:tcPr>
            <w:tcW w:w="2160" w:type="dxa"/>
            <w:vAlign w:val="center"/>
          </w:tcPr>
          <w:p w14:paraId="1D9F44CB">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r w14:paraId="0307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D0D3A89">
            <w:pPr>
              <w:keepNext w:val="0"/>
              <w:keepLines w:val="0"/>
              <w:widowControl/>
              <w:suppressLineNumbers w:val="0"/>
              <w:spacing w:before="0" w:beforeAutospacing="0" w:after="0" w:afterAutospacing="0" w:line="240" w:lineRule="auto"/>
              <w:ind w:left="0" w:right="0"/>
              <w:jc w:val="center"/>
              <w:rPr>
                <w:rFonts w:hint="eastAsia"/>
              </w:rPr>
            </w:pPr>
            <w:r>
              <w:rPr>
                <w:rFonts w:hint="eastAsia"/>
              </w:rPr>
              <w:t>17</w:t>
            </w:r>
          </w:p>
        </w:tc>
        <w:tc>
          <w:tcPr>
            <w:tcW w:w="1985" w:type="dxa"/>
            <w:vAlign w:val="center"/>
          </w:tcPr>
          <w:p w14:paraId="55BF5A0B">
            <w:pPr>
              <w:keepNext w:val="0"/>
              <w:keepLines w:val="0"/>
              <w:widowControl/>
              <w:suppressLineNumbers w:val="0"/>
              <w:spacing w:before="0" w:beforeAutospacing="0" w:after="0" w:afterAutospacing="0" w:line="240" w:lineRule="auto"/>
              <w:ind w:left="0" w:right="0"/>
              <w:jc w:val="center"/>
              <w:rPr>
                <w:rFonts w:hint="eastAsia"/>
              </w:rPr>
            </w:pPr>
            <w:r>
              <w:rPr>
                <w:rFonts w:hint="eastAsia"/>
              </w:rPr>
              <w:t>知识转移</w:t>
            </w:r>
          </w:p>
        </w:tc>
        <w:tc>
          <w:tcPr>
            <w:tcW w:w="3678" w:type="dxa"/>
            <w:vAlign w:val="center"/>
          </w:tcPr>
          <w:p w14:paraId="28F0EB35">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每年不少于2次系统使用培训（含新入职人员培训），提供操作手册</w:t>
            </w:r>
          </w:p>
        </w:tc>
        <w:tc>
          <w:tcPr>
            <w:tcW w:w="2160" w:type="dxa"/>
            <w:vAlign w:val="center"/>
          </w:tcPr>
          <w:p w14:paraId="39515718">
            <w:pPr>
              <w:keepNext w:val="0"/>
              <w:keepLines w:val="0"/>
              <w:widowControl/>
              <w:suppressLineNumbers w:val="0"/>
              <w:spacing w:before="0" w:beforeAutospacing="0" w:after="0" w:afterAutospacing="0" w:line="240" w:lineRule="auto"/>
              <w:ind w:left="0" w:right="0"/>
              <w:jc w:val="center"/>
              <w:rPr>
                <w:rFonts w:hint="eastAsia"/>
              </w:rPr>
            </w:pPr>
            <w:r>
              <w:rPr>
                <w:rFonts w:hint="eastAsia"/>
              </w:rPr>
              <w:t>1项</w:t>
            </w:r>
          </w:p>
        </w:tc>
      </w:tr>
    </w:tbl>
    <w:p w14:paraId="21E24A3C">
      <w:pPr>
        <w:rPr>
          <w:lang w:eastAsia="zh-CN"/>
        </w:rPr>
      </w:pPr>
      <w:r>
        <w:rPr>
          <w:rFonts w:ascii="黑体" w:hAnsi="黑体" w:eastAsia="黑体"/>
          <w:b/>
          <w:sz w:val="28"/>
          <w:lang w:eastAsia="zh-CN"/>
        </w:rPr>
        <w:t>三、应急响应分级与服务水平协议</w:t>
      </w:r>
    </w:p>
    <w:p w14:paraId="00F4F59E">
      <w:pPr>
        <w:rPr>
          <w:lang w:eastAsia="zh-CN"/>
        </w:rPr>
      </w:pPr>
      <w:r>
        <w:rPr>
          <w:lang w:eastAsia="zh-CN"/>
        </w:rPr>
        <w:t>▲注：甲方医保科负责一级响应的业务层面初步处置与信息上报，信息科负责技术层面协调，乙方提供二级技术支撑与远程/到场处置。</w:t>
      </w:r>
    </w:p>
    <w:tbl>
      <w:tblPr>
        <w:tblStyle w:val="33"/>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2491"/>
        <w:gridCol w:w="1276"/>
        <w:gridCol w:w="1417"/>
        <w:gridCol w:w="1728"/>
      </w:tblGrid>
      <w:tr w14:paraId="6675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6F5EE9C">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事件级别</w:t>
            </w:r>
          </w:p>
        </w:tc>
        <w:tc>
          <w:tcPr>
            <w:tcW w:w="2491" w:type="dxa"/>
          </w:tcPr>
          <w:p w14:paraId="51EB80C7">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定义</w:t>
            </w:r>
          </w:p>
        </w:tc>
        <w:tc>
          <w:tcPr>
            <w:tcW w:w="1276" w:type="dxa"/>
          </w:tcPr>
          <w:p w14:paraId="27CCF60B">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响应时效</w:t>
            </w:r>
          </w:p>
        </w:tc>
        <w:tc>
          <w:tcPr>
            <w:tcW w:w="1417" w:type="dxa"/>
          </w:tcPr>
          <w:p w14:paraId="6AD5EB3F">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到场/接入时效</w:t>
            </w:r>
          </w:p>
        </w:tc>
        <w:tc>
          <w:tcPr>
            <w:tcW w:w="1728" w:type="dxa"/>
          </w:tcPr>
          <w:p w14:paraId="53536FA7">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处置目标</w:t>
            </w:r>
          </w:p>
        </w:tc>
      </w:tr>
      <w:tr w14:paraId="614C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154F40E6">
            <w:pPr>
              <w:keepNext w:val="0"/>
              <w:keepLines w:val="0"/>
              <w:widowControl/>
              <w:suppressLineNumbers w:val="0"/>
              <w:spacing w:before="0" w:beforeAutospacing="0" w:after="0" w:afterAutospacing="0" w:line="240" w:lineRule="auto"/>
              <w:ind w:left="0" w:right="0"/>
              <w:jc w:val="center"/>
              <w:rPr>
                <w:rFonts w:hint="eastAsia"/>
              </w:rPr>
            </w:pPr>
            <w:r>
              <w:rPr>
                <w:rFonts w:hint="eastAsia"/>
              </w:rPr>
              <w:t>一级（紧急）</w:t>
            </w:r>
          </w:p>
        </w:tc>
        <w:tc>
          <w:tcPr>
            <w:tcW w:w="2491" w:type="dxa"/>
            <w:vAlign w:val="center"/>
          </w:tcPr>
          <w:p w14:paraId="7D9813BB">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DRG分组器失效、医保结算清单质控系统瘫痪、医保基金监控系统集群失效、数据接口中断导致医保业务停摆</w:t>
            </w:r>
          </w:p>
        </w:tc>
        <w:tc>
          <w:tcPr>
            <w:tcW w:w="1276" w:type="dxa"/>
            <w:vAlign w:val="center"/>
          </w:tcPr>
          <w:p w14:paraId="06EEF76C">
            <w:pPr>
              <w:keepNext w:val="0"/>
              <w:keepLines w:val="0"/>
              <w:widowControl/>
              <w:suppressLineNumbers w:val="0"/>
              <w:spacing w:before="0" w:beforeAutospacing="0" w:after="0" w:afterAutospacing="0" w:line="240" w:lineRule="auto"/>
              <w:ind w:left="0" w:right="0"/>
              <w:jc w:val="center"/>
              <w:rPr>
                <w:rFonts w:hint="eastAsia"/>
              </w:rPr>
            </w:pPr>
            <w:r>
              <w:rPr>
                <w:rFonts w:hint="eastAsia"/>
              </w:rPr>
              <w:t>15分钟</w:t>
            </w:r>
          </w:p>
        </w:tc>
        <w:tc>
          <w:tcPr>
            <w:tcW w:w="1417" w:type="dxa"/>
            <w:vAlign w:val="center"/>
          </w:tcPr>
          <w:p w14:paraId="4B4B2C42">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1小时远程接入或2小时到场</w:t>
            </w:r>
          </w:p>
        </w:tc>
        <w:tc>
          <w:tcPr>
            <w:tcW w:w="1728" w:type="dxa"/>
            <w:vAlign w:val="center"/>
          </w:tcPr>
          <w:p w14:paraId="3019E83E">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4小时内恢复系统基本运行</w:t>
            </w:r>
          </w:p>
        </w:tc>
      </w:tr>
      <w:tr w14:paraId="29B9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013E8306">
            <w:pPr>
              <w:keepNext w:val="0"/>
              <w:keepLines w:val="0"/>
              <w:widowControl/>
              <w:suppressLineNumbers w:val="0"/>
              <w:spacing w:before="0" w:beforeAutospacing="0" w:after="0" w:afterAutospacing="0" w:line="240" w:lineRule="auto"/>
              <w:ind w:left="0" w:right="0"/>
              <w:jc w:val="center"/>
              <w:rPr>
                <w:rFonts w:hint="eastAsia"/>
              </w:rPr>
            </w:pPr>
            <w:r>
              <w:rPr>
                <w:rFonts w:hint="eastAsia"/>
              </w:rPr>
              <w:t>二级（重大）</w:t>
            </w:r>
          </w:p>
        </w:tc>
        <w:tc>
          <w:tcPr>
            <w:tcW w:w="2491" w:type="dxa"/>
            <w:vAlign w:val="center"/>
          </w:tcPr>
          <w:p w14:paraId="33EC11EB">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单模块功能异常（如分组模拟失效、费用预评估错误）、规则库更新失败、数据同步异常</w:t>
            </w:r>
          </w:p>
        </w:tc>
        <w:tc>
          <w:tcPr>
            <w:tcW w:w="1276" w:type="dxa"/>
            <w:vAlign w:val="center"/>
          </w:tcPr>
          <w:p w14:paraId="3511A8C7">
            <w:pPr>
              <w:keepNext w:val="0"/>
              <w:keepLines w:val="0"/>
              <w:widowControl/>
              <w:suppressLineNumbers w:val="0"/>
              <w:spacing w:before="0" w:beforeAutospacing="0" w:after="0" w:afterAutospacing="0" w:line="240" w:lineRule="auto"/>
              <w:ind w:left="0" w:right="0"/>
              <w:jc w:val="center"/>
              <w:rPr>
                <w:rFonts w:hint="eastAsia"/>
              </w:rPr>
            </w:pPr>
            <w:r>
              <w:rPr>
                <w:rFonts w:hint="eastAsia"/>
              </w:rPr>
              <w:t>30分钟</w:t>
            </w:r>
          </w:p>
        </w:tc>
        <w:tc>
          <w:tcPr>
            <w:tcW w:w="1417" w:type="dxa"/>
            <w:vAlign w:val="center"/>
          </w:tcPr>
          <w:p w14:paraId="24E281AA">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2小时远程接入或4小时到场</w:t>
            </w:r>
          </w:p>
        </w:tc>
        <w:tc>
          <w:tcPr>
            <w:tcW w:w="1728" w:type="dxa"/>
            <w:vAlign w:val="center"/>
          </w:tcPr>
          <w:p w14:paraId="6FDDEBDA">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8小时内恢复模块正常运行</w:t>
            </w:r>
          </w:p>
        </w:tc>
      </w:tr>
      <w:tr w14:paraId="23A0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1A4A6CA4">
            <w:pPr>
              <w:keepNext w:val="0"/>
              <w:keepLines w:val="0"/>
              <w:widowControl/>
              <w:suppressLineNumbers w:val="0"/>
              <w:spacing w:before="0" w:beforeAutospacing="0" w:after="0" w:afterAutospacing="0" w:line="240" w:lineRule="auto"/>
              <w:ind w:left="0" w:right="0"/>
              <w:jc w:val="center"/>
              <w:rPr>
                <w:rFonts w:hint="eastAsia"/>
              </w:rPr>
            </w:pPr>
            <w:r>
              <w:rPr>
                <w:rFonts w:hint="eastAsia"/>
              </w:rPr>
              <w:t>三级（一般）</w:t>
            </w:r>
          </w:p>
        </w:tc>
        <w:tc>
          <w:tcPr>
            <w:tcW w:w="2491" w:type="dxa"/>
            <w:vAlign w:val="center"/>
          </w:tcPr>
          <w:p w14:paraId="0FA25899">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系统性能告警、一般性功能优化、报表数据异常、策略调整需求</w:t>
            </w:r>
          </w:p>
        </w:tc>
        <w:tc>
          <w:tcPr>
            <w:tcW w:w="1276" w:type="dxa"/>
            <w:vAlign w:val="center"/>
          </w:tcPr>
          <w:p w14:paraId="2E8C1935">
            <w:pPr>
              <w:keepNext w:val="0"/>
              <w:keepLines w:val="0"/>
              <w:widowControl/>
              <w:suppressLineNumbers w:val="0"/>
              <w:spacing w:before="0" w:beforeAutospacing="0" w:after="0" w:afterAutospacing="0" w:line="240" w:lineRule="auto"/>
              <w:ind w:left="0" w:right="0"/>
              <w:jc w:val="center"/>
              <w:rPr>
                <w:rFonts w:hint="eastAsia"/>
              </w:rPr>
            </w:pPr>
            <w:r>
              <w:rPr>
                <w:rFonts w:hint="eastAsia"/>
              </w:rPr>
              <w:t>2小时</w:t>
            </w:r>
          </w:p>
        </w:tc>
        <w:tc>
          <w:tcPr>
            <w:tcW w:w="1417" w:type="dxa"/>
            <w:vAlign w:val="center"/>
          </w:tcPr>
          <w:p w14:paraId="43832372">
            <w:pPr>
              <w:keepNext w:val="0"/>
              <w:keepLines w:val="0"/>
              <w:widowControl/>
              <w:suppressLineNumbers w:val="0"/>
              <w:spacing w:before="0" w:beforeAutospacing="0" w:after="0" w:afterAutospacing="0" w:line="240" w:lineRule="auto"/>
              <w:ind w:left="0" w:right="0"/>
              <w:jc w:val="center"/>
              <w:rPr>
                <w:rFonts w:hint="eastAsia"/>
              </w:rPr>
            </w:pPr>
            <w:r>
              <w:rPr>
                <w:rFonts w:hint="eastAsia"/>
              </w:rPr>
              <w:t>远程或预约到场</w:t>
            </w:r>
          </w:p>
        </w:tc>
        <w:tc>
          <w:tcPr>
            <w:tcW w:w="1728" w:type="dxa"/>
            <w:vAlign w:val="center"/>
          </w:tcPr>
          <w:p w14:paraId="2382ADC9">
            <w:pPr>
              <w:keepNext w:val="0"/>
              <w:keepLines w:val="0"/>
              <w:widowControl/>
              <w:suppressLineNumbers w:val="0"/>
              <w:spacing w:before="0" w:beforeAutospacing="0" w:after="0" w:afterAutospacing="0" w:line="240" w:lineRule="auto"/>
              <w:ind w:left="0" w:right="0"/>
              <w:jc w:val="center"/>
              <w:rPr>
                <w:rFonts w:hint="eastAsia"/>
              </w:rPr>
            </w:pPr>
            <w:r>
              <w:rPr>
                <w:rFonts w:hint="eastAsia"/>
              </w:rPr>
              <w:t>24小时内完成处置</w:t>
            </w:r>
          </w:p>
        </w:tc>
      </w:tr>
      <w:tr w14:paraId="1A92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2B5A61B2">
            <w:pPr>
              <w:keepNext w:val="0"/>
              <w:keepLines w:val="0"/>
              <w:widowControl/>
              <w:suppressLineNumbers w:val="0"/>
              <w:spacing w:before="0" w:beforeAutospacing="0" w:after="0" w:afterAutospacing="0" w:line="240" w:lineRule="auto"/>
              <w:ind w:left="0" w:right="0"/>
              <w:jc w:val="center"/>
              <w:rPr>
                <w:rFonts w:hint="eastAsia"/>
              </w:rPr>
            </w:pPr>
            <w:r>
              <w:rPr>
                <w:rFonts w:hint="eastAsia"/>
              </w:rPr>
              <w:t>四级（咨询）</w:t>
            </w:r>
          </w:p>
        </w:tc>
        <w:tc>
          <w:tcPr>
            <w:tcW w:w="2491" w:type="dxa"/>
            <w:vAlign w:val="center"/>
          </w:tcPr>
          <w:p w14:paraId="638CA70F">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业务咨询、报表提取、操作指导、政策解读</w:t>
            </w:r>
          </w:p>
        </w:tc>
        <w:tc>
          <w:tcPr>
            <w:tcW w:w="1276" w:type="dxa"/>
            <w:vAlign w:val="center"/>
          </w:tcPr>
          <w:p w14:paraId="6A147308">
            <w:pPr>
              <w:keepNext w:val="0"/>
              <w:keepLines w:val="0"/>
              <w:widowControl/>
              <w:suppressLineNumbers w:val="0"/>
              <w:spacing w:before="0" w:beforeAutospacing="0" w:after="0" w:afterAutospacing="0" w:line="240" w:lineRule="auto"/>
              <w:ind w:left="0" w:right="0"/>
              <w:jc w:val="center"/>
              <w:rPr>
                <w:rFonts w:hint="eastAsia"/>
              </w:rPr>
            </w:pPr>
            <w:r>
              <w:rPr>
                <w:rFonts w:hint="eastAsia"/>
              </w:rPr>
              <w:t>4小时</w:t>
            </w:r>
          </w:p>
        </w:tc>
        <w:tc>
          <w:tcPr>
            <w:tcW w:w="1417" w:type="dxa"/>
            <w:vAlign w:val="center"/>
          </w:tcPr>
          <w:p w14:paraId="20AA7E22">
            <w:pPr>
              <w:keepNext w:val="0"/>
              <w:keepLines w:val="0"/>
              <w:widowControl/>
              <w:suppressLineNumbers w:val="0"/>
              <w:spacing w:before="0" w:beforeAutospacing="0" w:after="0" w:afterAutospacing="0" w:line="240" w:lineRule="auto"/>
              <w:ind w:left="0" w:right="0"/>
              <w:jc w:val="center"/>
              <w:rPr>
                <w:rFonts w:hint="eastAsia"/>
              </w:rPr>
            </w:pPr>
            <w:r>
              <w:rPr>
                <w:rFonts w:hint="eastAsia"/>
              </w:rPr>
              <w:t>远程或预约</w:t>
            </w:r>
          </w:p>
        </w:tc>
        <w:tc>
          <w:tcPr>
            <w:tcW w:w="1728" w:type="dxa"/>
            <w:vAlign w:val="center"/>
          </w:tcPr>
          <w:p w14:paraId="333DA448">
            <w:pPr>
              <w:keepNext w:val="0"/>
              <w:keepLines w:val="0"/>
              <w:widowControl/>
              <w:suppressLineNumbers w:val="0"/>
              <w:spacing w:before="0" w:beforeAutospacing="0" w:after="0" w:afterAutospacing="0" w:line="240" w:lineRule="auto"/>
              <w:ind w:left="0" w:right="0"/>
              <w:jc w:val="center"/>
              <w:rPr>
                <w:rFonts w:hint="eastAsia"/>
              </w:rPr>
            </w:pPr>
            <w:r>
              <w:rPr>
                <w:rFonts w:hint="eastAsia"/>
              </w:rPr>
              <w:t>按约定时间完成</w:t>
            </w:r>
          </w:p>
        </w:tc>
      </w:tr>
    </w:tbl>
    <w:p w14:paraId="00CBC100">
      <w:r>
        <w:rPr>
          <w:rFonts w:ascii="黑体" w:hAnsi="黑体" w:eastAsia="黑体"/>
          <w:b/>
          <w:sz w:val="28"/>
        </w:rPr>
        <w:t>四、人员配置要求</w:t>
      </w:r>
    </w:p>
    <w:p w14:paraId="192B0210">
      <w:pPr>
        <w:rPr>
          <w:lang w:eastAsia="zh-CN"/>
        </w:rPr>
      </w:pPr>
      <w:r>
        <w:rPr>
          <w:b/>
          <w:lang w:eastAsia="zh-CN"/>
        </w:rPr>
        <w:t>▲注：上述人员须提供乙方为其缴纳的近3个月社保证明。项目负责人未经甲方书面同意不得更换。</w:t>
      </w:r>
    </w:p>
    <w:tbl>
      <w:tblPr>
        <w:tblStyle w:val="33"/>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134"/>
        <w:gridCol w:w="3678"/>
        <w:gridCol w:w="2160"/>
      </w:tblGrid>
      <w:tr w14:paraId="1BB2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29EFA43">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角色</w:t>
            </w:r>
          </w:p>
        </w:tc>
        <w:tc>
          <w:tcPr>
            <w:tcW w:w="1134" w:type="dxa"/>
          </w:tcPr>
          <w:p w14:paraId="13C9B034">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人数</w:t>
            </w:r>
          </w:p>
        </w:tc>
        <w:tc>
          <w:tcPr>
            <w:tcW w:w="3678" w:type="dxa"/>
          </w:tcPr>
          <w:p w14:paraId="3A601D57">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经验要求</w:t>
            </w:r>
          </w:p>
        </w:tc>
        <w:tc>
          <w:tcPr>
            <w:tcW w:w="2160" w:type="dxa"/>
          </w:tcPr>
          <w:p w14:paraId="472331CE">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工作方式</w:t>
            </w:r>
          </w:p>
        </w:tc>
      </w:tr>
      <w:tr w14:paraId="4990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5363CDDA">
            <w:pPr>
              <w:keepNext w:val="0"/>
              <w:keepLines w:val="0"/>
              <w:widowControl/>
              <w:suppressLineNumbers w:val="0"/>
              <w:spacing w:before="0" w:beforeAutospacing="0" w:after="0" w:afterAutospacing="0" w:line="240" w:lineRule="auto"/>
              <w:ind w:left="0" w:right="0"/>
              <w:jc w:val="center"/>
              <w:rPr>
                <w:rFonts w:hint="eastAsia"/>
              </w:rPr>
            </w:pPr>
            <w:r>
              <w:rPr>
                <w:rFonts w:hint="eastAsia"/>
              </w:rPr>
              <w:t>项目负责人</w:t>
            </w:r>
          </w:p>
        </w:tc>
        <w:tc>
          <w:tcPr>
            <w:tcW w:w="1134" w:type="dxa"/>
            <w:vAlign w:val="center"/>
          </w:tcPr>
          <w:p w14:paraId="41AEA32C">
            <w:pPr>
              <w:keepNext w:val="0"/>
              <w:keepLines w:val="0"/>
              <w:widowControl/>
              <w:suppressLineNumbers w:val="0"/>
              <w:spacing w:before="0" w:beforeAutospacing="0" w:after="0" w:afterAutospacing="0" w:line="240" w:lineRule="auto"/>
              <w:ind w:left="0" w:right="0"/>
              <w:jc w:val="center"/>
              <w:rPr>
                <w:rFonts w:hint="eastAsia"/>
              </w:rPr>
            </w:pPr>
            <w:r>
              <w:rPr>
                <w:rFonts w:hint="eastAsia"/>
              </w:rPr>
              <w:t>1人</w:t>
            </w:r>
          </w:p>
        </w:tc>
        <w:tc>
          <w:tcPr>
            <w:tcW w:w="3678" w:type="dxa"/>
            <w:vAlign w:val="center"/>
          </w:tcPr>
          <w:p w14:paraId="7DE55D7D">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2年以上DRG/医保信息系统运维管理经验，熟悉广西医保政策及DRG分组规则，具备项目统筹协调能力</w:t>
            </w:r>
          </w:p>
        </w:tc>
        <w:tc>
          <w:tcPr>
            <w:tcW w:w="2160" w:type="dxa"/>
            <w:vAlign w:val="center"/>
          </w:tcPr>
          <w:p w14:paraId="0CA1616E">
            <w:pPr>
              <w:keepNext w:val="0"/>
              <w:keepLines w:val="0"/>
              <w:widowControl/>
              <w:suppressLineNumbers w:val="0"/>
              <w:spacing w:before="0" w:beforeAutospacing="0" w:after="0" w:afterAutospacing="0" w:line="240" w:lineRule="auto"/>
              <w:ind w:left="0" w:right="0"/>
              <w:jc w:val="center"/>
              <w:rPr>
                <w:rFonts w:hint="eastAsia"/>
              </w:rPr>
            </w:pPr>
            <w:r>
              <w:rPr>
                <w:rFonts w:hint="eastAsia"/>
              </w:rPr>
              <w:t>总体协调，按需到场</w:t>
            </w:r>
          </w:p>
        </w:tc>
      </w:tr>
      <w:tr w14:paraId="12BC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4E1CDDD2">
            <w:pPr>
              <w:keepNext w:val="0"/>
              <w:keepLines w:val="0"/>
              <w:widowControl/>
              <w:suppressLineNumbers w:val="0"/>
              <w:spacing w:before="0" w:beforeAutospacing="0" w:after="0" w:afterAutospacing="0" w:line="240" w:lineRule="auto"/>
              <w:ind w:left="0" w:right="0"/>
              <w:jc w:val="center"/>
              <w:rPr>
                <w:rFonts w:hint="eastAsia"/>
              </w:rPr>
            </w:pPr>
            <w:r>
              <w:rPr>
                <w:rFonts w:hint="eastAsia"/>
              </w:rPr>
              <w:t>后台技术专家</w:t>
            </w:r>
          </w:p>
        </w:tc>
        <w:tc>
          <w:tcPr>
            <w:tcW w:w="1134" w:type="dxa"/>
            <w:vAlign w:val="center"/>
          </w:tcPr>
          <w:p w14:paraId="2EEF3541">
            <w:pPr>
              <w:keepNext w:val="0"/>
              <w:keepLines w:val="0"/>
              <w:widowControl/>
              <w:suppressLineNumbers w:val="0"/>
              <w:spacing w:before="0" w:beforeAutospacing="0" w:after="0" w:afterAutospacing="0" w:line="240" w:lineRule="auto"/>
              <w:ind w:left="0" w:right="0"/>
              <w:jc w:val="center"/>
              <w:rPr>
                <w:rFonts w:hint="eastAsia"/>
              </w:rPr>
            </w:pPr>
            <w:r>
              <w:rPr>
                <w:rFonts w:hint="eastAsia"/>
              </w:rPr>
              <w:t>≥1人</w:t>
            </w:r>
          </w:p>
        </w:tc>
        <w:tc>
          <w:tcPr>
            <w:tcW w:w="3678" w:type="dxa"/>
            <w:vAlign w:val="center"/>
          </w:tcPr>
          <w:p w14:paraId="295D5FAE">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具备DRG分组器维护、医保接口开发或医保政策解读经验，能独立分析系统日志、排查故障根因</w:t>
            </w:r>
          </w:p>
        </w:tc>
        <w:tc>
          <w:tcPr>
            <w:tcW w:w="2160" w:type="dxa"/>
            <w:vAlign w:val="center"/>
          </w:tcPr>
          <w:p w14:paraId="2668F78E">
            <w:pPr>
              <w:keepNext w:val="0"/>
              <w:keepLines w:val="0"/>
              <w:widowControl/>
              <w:suppressLineNumbers w:val="0"/>
              <w:spacing w:before="0" w:beforeAutospacing="0" w:after="0" w:afterAutospacing="0" w:line="240" w:lineRule="auto"/>
              <w:ind w:left="0" w:right="0"/>
              <w:jc w:val="center"/>
              <w:rPr>
                <w:rFonts w:hint="eastAsia"/>
              </w:rPr>
            </w:pPr>
            <w:r>
              <w:rPr>
                <w:rFonts w:hint="eastAsia"/>
              </w:rPr>
              <w:t>远程+应急支持</w:t>
            </w:r>
          </w:p>
        </w:tc>
      </w:tr>
      <w:tr w14:paraId="4126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004140D5">
            <w:pPr>
              <w:keepNext w:val="0"/>
              <w:keepLines w:val="0"/>
              <w:widowControl/>
              <w:suppressLineNumbers w:val="0"/>
              <w:spacing w:before="0" w:beforeAutospacing="0" w:after="0" w:afterAutospacing="0" w:line="240" w:lineRule="auto"/>
              <w:ind w:left="0" w:right="0"/>
              <w:jc w:val="center"/>
              <w:rPr>
                <w:rFonts w:hint="eastAsia"/>
              </w:rPr>
            </w:pPr>
            <w:r>
              <w:rPr>
                <w:rFonts w:hint="eastAsia"/>
              </w:rPr>
              <w:t>现场工程师</w:t>
            </w:r>
          </w:p>
        </w:tc>
        <w:tc>
          <w:tcPr>
            <w:tcW w:w="1134" w:type="dxa"/>
            <w:vAlign w:val="center"/>
          </w:tcPr>
          <w:p w14:paraId="3324425D">
            <w:pPr>
              <w:keepNext w:val="0"/>
              <w:keepLines w:val="0"/>
              <w:widowControl/>
              <w:suppressLineNumbers w:val="0"/>
              <w:spacing w:before="0" w:beforeAutospacing="0" w:after="0" w:afterAutospacing="0" w:line="240" w:lineRule="auto"/>
              <w:ind w:left="0" w:right="0"/>
              <w:jc w:val="center"/>
              <w:rPr>
                <w:rFonts w:hint="eastAsia"/>
              </w:rPr>
            </w:pPr>
            <w:r>
              <w:rPr>
                <w:rFonts w:hint="eastAsia"/>
              </w:rPr>
              <w:t>≥1人</w:t>
            </w:r>
          </w:p>
        </w:tc>
        <w:tc>
          <w:tcPr>
            <w:tcW w:w="3678" w:type="dxa"/>
            <w:vAlign w:val="center"/>
          </w:tcPr>
          <w:p w14:paraId="031E4BA8">
            <w:pPr>
              <w:keepNext w:val="0"/>
              <w:keepLines w:val="0"/>
              <w:widowControl/>
              <w:suppressLineNumbers w:val="0"/>
              <w:spacing w:before="0" w:beforeAutospacing="0" w:after="0" w:afterAutospacing="0" w:line="240" w:lineRule="auto"/>
              <w:ind w:left="0" w:right="0"/>
              <w:jc w:val="left"/>
              <w:rPr>
                <w:rFonts w:hint="eastAsia"/>
                <w:lang w:eastAsia="zh-CN"/>
              </w:rPr>
            </w:pPr>
            <w:r>
              <w:rPr>
                <w:rFonts w:hint="eastAsia"/>
                <w:lang w:eastAsia="zh-CN"/>
              </w:rPr>
              <w:t>1年以上医保信息系统或医疗软件运维经验，能独立完成系统巡检、配置备份、故障排查及数据接口调试</w:t>
            </w:r>
          </w:p>
        </w:tc>
        <w:tc>
          <w:tcPr>
            <w:tcW w:w="2160" w:type="dxa"/>
            <w:vAlign w:val="center"/>
          </w:tcPr>
          <w:p w14:paraId="0C65C170">
            <w:pPr>
              <w:keepNext w:val="0"/>
              <w:keepLines w:val="0"/>
              <w:widowControl/>
              <w:suppressLineNumbers w:val="0"/>
              <w:spacing w:before="0" w:beforeAutospacing="0" w:after="0" w:afterAutospacing="0" w:line="240" w:lineRule="auto"/>
              <w:ind w:left="0" w:right="0"/>
              <w:jc w:val="center"/>
              <w:rPr>
                <w:rFonts w:hint="eastAsia"/>
                <w:lang w:eastAsia="zh-CN"/>
              </w:rPr>
            </w:pPr>
            <w:r>
              <w:rPr>
                <w:rFonts w:hint="eastAsia"/>
                <w:lang w:eastAsia="zh-CN"/>
              </w:rPr>
              <w:t>按服务需求到场，无驻场要求</w:t>
            </w:r>
          </w:p>
        </w:tc>
      </w:tr>
    </w:tbl>
    <w:p w14:paraId="40981B43">
      <w:pPr>
        <w:rPr>
          <w:lang w:eastAsia="zh-CN"/>
        </w:rPr>
      </w:pPr>
      <w:r>
        <w:rPr>
          <w:rFonts w:ascii="黑体" w:hAnsi="黑体" w:eastAsia="黑体"/>
          <w:b/>
          <w:sz w:val="28"/>
          <w:lang w:eastAsia="zh-CN"/>
        </w:rPr>
        <w:t>五、双方责任边界</w:t>
      </w:r>
    </w:p>
    <w:p w14:paraId="627BA2FA">
      <w:pPr>
        <w:rPr>
          <w:lang w:eastAsia="zh-CN"/>
        </w:rPr>
      </w:pPr>
      <w:r>
        <w:rPr>
          <w:rFonts w:ascii="黑体" w:hAnsi="黑体" w:eastAsia="黑体"/>
          <w:b/>
          <w:lang w:eastAsia="zh-CN"/>
        </w:rPr>
        <w:t>（一）甲方责任</w:t>
      </w:r>
    </w:p>
    <w:p w14:paraId="56A6455A">
      <w:pPr>
        <w:pStyle w:val="14"/>
        <w:rPr>
          <w:lang w:eastAsia="zh-CN"/>
        </w:rPr>
      </w:pPr>
      <w:r>
        <w:rPr>
          <w:lang w:eastAsia="zh-CN"/>
        </w:rPr>
        <w:t>日常运营：医保科负责日常业务操作、数据上报、规则应用及业务问题初步排查；信息科负责系统运行状态监控，发现异常及时处置并通知乙方。</w:t>
      </w:r>
    </w:p>
    <w:p w14:paraId="01029350">
      <w:pPr>
        <w:pStyle w:val="14"/>
        <w:rPr>
          <w:lang w:eastAsia="zh-CN"/>
        </w:rPr>
      </w:pPr>
      <w:r>
        <w:rPr>
          <w:lang w:eastAsia="zh-CN"/>
        </w:rPr>
        <w:t>数据管理：负责日常业务数据录入、核对及备份，确保数据源头准确性。</w:t>
      </w:r>
    </w:p>
    <w:p w14:paraId="15195B70">
      <w:pPr>
        <w:pStyle w:val="14"/>
        <w:rPr>
          <w:lang w:eastAsia="zh-CN"/>
        </w:rPr>
      </w:pPr>
      <w:r>
        <w:rPr>
          <w:lang w:eastAsia="zh-CN"/>
        </w:rPr>
        <w:t>需求管理：负责提出业务功能优化需求、规则调整需求，复杂技术需求提交乙方评估。</w:t>
      </w:r>
    </w:p>
    <w:p w14:paraId="68B2DFF1">
      <w:pPr>
        <w:pStyle w:val="14"/>
        <w:rPr>
          <w:lang w:eastAsia="zh-CN"/>
        </w:rPr>
      </w:pPr>
      <w:r>
        <w:rPr>
          <w:lang w:eastAsia="zh-CN"/>
        </w:rPr>
        <w:t>应急响应：负责一级安全/业务事件的初步隔离与信息上报，协调乙方二级响应。</w:t>
      </w:r>
    </w:p>
    <w:p w14:paraId="1943A720">
      <w:pPr>
        <w:pStyle w:val="14"/>
        <w:rPr>
          <w:lang w:eastAsia="zh-CN"/>
        </w:rPr>
      </w:pPr>
      <w:r>
        <w:rPr>
          <w:lang w:eastAsia="zh-CN"/>
        </w:rPr>
        <w:t>基础条件保障：向乙方提供运维工作所需的系统管理账号、数据库访问权限（只读及配置权限按需开通）、机房出入便利及必要的办公条件。</w:t>
      </w:r>
    </w:p>
    <w:p w14:paraId="616F57E1">
      <w:pPr>
        <w:pStyle w:val="14"/>
        <w:rPr>
          <w:lang w:eastAsia="zh-CN"/>
        </w:rPr>
      </w:pPr>
      <w:r>
        <w:rPr>
          <w:lang w:eastAsia="zh-CN"/>
        </w:rPr>
        <w:t>业务协调：负责向乙方提供HIS系统接口技术文档及业务变更需求，以便乙方准确调整数据接口；负责日常管理决策（如规则变更审批、业务上线窗口协调），乙方仅提供技术执行及建议。</w:t>
      </w:r>
    </w:p>
    <w:p w14:paraId="3E0B68B8">
      <w:pPr>
        <w:pStyle w:val="14"/>
        <w:rPr>
          <w:lang w:eastAsia="zh-CN"/>
        </w:rPr>
      </w:pPr>
      <w:r>
        <w:rPr>
          <w:lang w:eastAsia="zh-CN"/>
        </w:rPr>
        <w:t>进场准备：在乙方进场前，确保维保系统清单中系统正常运行，并告知乙方各系统当前授权到期日及版本信息。</w:t>
      </w:r>
    </w:p>
    <w:p w14:paraId="79EAAA40">
      <w:r>
        <w:rPr>
          <w:rFonts w:ascii="黑体" w:hAnsi="黑体" w:eastAsia="黑体"/>
          <w:b/>
        </w:rPr>
        <w:t>（二）乙方责任</w:t>
      </w:r>
    </w:p>
    <w:p w14:paraId="10F6AEED">
      <w:pPr>
        <w:pStyle w:val="14"/>
        <w:numPr>
          <w:ilvl w:val="0"/>
          <w:numId w:val="7"/>
        </w:numPr>
        <w:rPr>
          <w:lang w:eastAsia="zh-CN"/>
        </w:rPr>
      </w:pPr>
      <w:r>
        <w:rPr>
          <w:lang w:eastAsia="zh-CN"/>
        </w:rPr>
        <w:t>按本合同及附件提供全部维保服务，确保甲方DRG运营管理及医保智能审核系统稳定运行、规则有效、数据准确。</w:t>
      </w:r>
    </w:p>
    <w:p w14:paraId="3383EB7A">
      <w:pPr>
        <w:pStyle w:val="14"/>
        <w:rPr>
          <w:lang w:eastAsia="zh-CN"/>
        </w:rPr>
      </w:pPr>
      <w:r>
        <w:rPr>
          <w:lang w:eastAsia="zh-CN"/>
        </w:rPr>
        <w:t>提供7×24小时应急热线，按服务水平协议要求响应并远程/到场处置。</w:t>
      </w:r>
    </w:p>
    <w:p w14:paraId="67BDB778">
      <w:pPr>
        <w:pStyle w:val="14"/>
        <w:rPr>
          <w:lang w:eastAsia="zh-CN"/>
        </w:rPr>
      </w:pPr>
      <w:r>
        <w:rPr>
          <w:lang w:eastAsia="zh-CN"/>
        </w:rPr>
        <w:t>每季度开展深度巡检</w:t>
      </w:r>
      <w:r>
        <w:rPr>
          <w:rFonts w:hint="eastAsia"/>
          <w:lang w:eastAsia="zh-CN"/>
        </w:rPr>
        <w:t>。</w:t>
      </w:r>
    </w:p>
    <w:p w14:paraId="6025ACFB">
      <w:pPr>
        <w:pStyle w:val="14"/>
        <w:rPr>
          <w:lang w:eastAsia="zh-CN"/>
        </w:rPr>
      </w:pPr>
      <w:r>
        <w:rPr>
          <w:lang w:eastAsia="zh-CN"/>
        </w:rPr>
        <w:t>建立运维档案，记录每次巡检、故障处理、规则变更、配置备份的时间、内容及结果，服务期满后移交甲方。</w:t>
      </w:r>
    </w:p>
    <w:p w14:paraId="3BC9FD80">
      <w:pPr>
        <w:pStyle w:val="14"/>
        <w:rPr>
          <w:lang w:eastAsia="zh-CN"/>
        </w:rPr>
      </w:pPr>
      <w:r>
        <w:rPr>
          <w:lang w:eastAsia="zh-CN"/>
        </w:rPr>
        <w:t>未经甲方书面同意，不得擅自更换项目负责人；确需更换的须提前15日书面申请，并提供同等或更高经验替代人员。</w:t>
      </w:r>
    </w:p>
    <w:p w14:paraId="4E04F459">
      <w:pPr>
        <w:pStyle w:val="14"/>
        <w:rPr>
          <w:lang w:eastAsia="zh-CN"/>
        </w:rPr>
      </w:pPr>
      <w:r>
        <w:rPr>
          <w:lang w:eastAsia="zh-CN"/>
        </w:rPr>
        <w:t>不得以任何形式在甲方系统或交付成果中设置加密狗、时间锁、授权码等限制正常运行的措施。</w:t>
      </w:r>
    </w:p>
    <w:p w14:paraId="3ED61656">
      <w:r>
        <w:rPr>
          <w:rFonts w:ascii="黑体" w:hAnsi="黑体" w:eastAsia="黑体"/>
          <w:b/>
          <w:sz w:val="28"/>
        </w:rPr>
        <w:t>六、交付成果清单</w:t>
      </w:r>
    </w:p>
    <w:tbl>
      <w:tblPr>
        <w:tblStyle w:val="33"/>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943"/>
        <w:gridCol w:w="2880"/>
      </w:tblGrid>
      <w:tr w14:paraId="336AC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D04C515">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序号</w:t>
            </w:r>
          </w:p>
        </w:tc>
        <w:tc>
          <w:tcPr>
            <w:tcW w:w="4943" w:type="dxa"/>
          </w:tcPr>
          <w:p w14:paraId="3D7D7617">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交付成果</w:t>
            </w:r>
          </w:p>
        </w:tc>
        <w:tc>
          <w:tcPr>
            <w:tcW w:w="2880" w:type="dxa"/>
          </w:tcPr>
          <w:p w14:paraId="00B8145D">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周期/时限</w:t>
            </w:r>
          </w:p>
        </w:tc>
      </w:tr>
      <w:tr w14:paraId="3A57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03D4754">
            <w:pPr>
              <w:keepNext w:val="0"/>
              <w:keepLines w:val="0"/>
              <w:widowControl/>
              <w:suppressLineNumbers w:val="0"/>
              <w:spacing w:before="0" w:beforeAutospacing="0" w:after="0" w:afterAutospacing="0" w:line="240" w:lineRule="auto"/>
              <w:ind w:left="0" w:right="0"/>
              <w:rPr>
                <w:rFonts w:hint="eastAsia"/>
              </w:rPr>
            </w:pPr>
            <w:r>
              <w:rPr>
                <w:rFonts w:hint="eastAsia"/>
              </w:rPr>
              <w:t>1</w:t>
            </w:r>
          </w:p>
        </w:tc>
        <w:tc>
          <w:tcPr>
            <w:tcW w:w="4943" w:type="dxa"/>
          </w:tcPr>
          <w:p w14:paraId="030A4EE1">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《系统现状基线报告》及《全年维保计划》</w:t>
            </w:r>
          </w:p>
        </w:tc>
        <w:tc>
          <w:tcPr>
            <w:tcW w:w="2880" w:type="dxa"/>
          </w:tcPr>
          <w:p w14:paraId="7A9D31CE">
            <w:pPr>
              <w:keepNext w:val="0"/>
              <w:keepLines w:val="0"/>
              <w:widowControl/>
              <w:suppressLineNumbers w:val="0"/>
              <w:spacing w:before="0" w:beforeAutospacing="0" w:after="0" w:afterAutospacing="0" w:line="240" w:lineRule="auto"/>
              <w:ind w:left="0" w:right="0"/>
              <w:rPr>
                <w:rFonts w:hint="eastAsia"/>
              </w:rPr>
            </w:pPr>
            <w:r>
              <w:rPr>
                <w:rFonts w:hint="eastAsia"/>
              </w:rPr>
              <w:t>进场后1个月内</w:t>
            </w:r>
          </w:p>
        </w:tc>
      </w:tr>
      <w:tr w14:paraId="6FDD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5553C36">
            <w:pPr>
              <w:keepNext w:val="0"/>
              <w:keepLines w:val="0"/>
              <w:widowControl/>
              <w:suppressLineNumbers w:val="0"/>
              <w:spacing w:before="0" w:beforeAutospacing="0" w:after="0" w:afterAutospacing="0" w:line="240" w:lineRule="auto"/>
              <w:ind w:left="0" w:right="0"/>
              <w:rPr>
                <w:rFonts w:hint="eastAsia"/>
              </w:rPr>
            </w:pPr>
            <w:r>
              <w:rPr>
                <w:rFonts w:hint="eastAsia"/>
              </w:rPr>
              <w:t>2</w:t>
            </w:r>
          </w:p>
        </w:tc>
        <w:tc>
          <w:tcPr>
            <w:tcW w:w="4943" w:type="dxa"/>
          </w:tcPr>
          <w:p w14:paraId="72D5090D">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《季度深度巡检报告》</w:t>
            </w:r>
          </w:p>
        </w:tc>
        <w:tc>
          <w:tcPr>
            <w:tcW w:w="2880" w:type="dxa"/>
          </w:tcPr>
          <w:p w14:paraId="553A1F09">
            <w:pPr>
              <w:keepNext w:val="0"/>
              <w:keepLines w:val="0"/>
              <w:widowControl/>
              <w:suppressLineNumbers w:val="0"/>
              <w:spacing w:before="0" w:beforeAutospacing="0" w:after="0" w:afterAutospacing="0" w:line="240" w:lineRule="auto"/>
              <w:ind w:left="0" w:right="0"/>
              <w:rPr>
                <w:rFonts w:hint="eastAsia"/>
              </w:rPr>
            </w:pPr>
            <w:r>
              <w:rPr>
                <w:rFonts w:hint="eastAsia"/>
              </w:rPr>
              <w:t>每季度</w:t>
            </w:r>
          </w:p>
        </w:tc>
      </w:tr>
      <w:tr w14:paraId="1234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5549046">
            <w:pPr>
              <w:keepNext w:val="0"/>
              <w:keepLines w:val="0"/>
              <w:widowControl/>
              <w:suppressLineNumbers w:val="0"/>
              <w:spacing w:before="0" w:beforeAutospacing="0" w:after="0" w:afterAutospacing="0" w:line="240" w:lineRule="auto"/>
              <w:ind w:left="0" w:right="0"/>
              <w:rPr>
                <w:rFonts w:hint="eastAsia"/>
              </w:rPr>
            </w:pPr>
            <w:r>
              <w:rPr>
                <w:rFonts w:hint="eastAsia"/>
              </w:rPr>
              <w:t>3</w:t>
            </w:r>
          </w:p>
        </w:tc>
        <w:tc>
          <w:tcPr>
            <w:tcW w:w="4943" w:type="dxa"/>
          </w:tcPr>
          <w:p w14:paraId="2A828E94">
            <w:pPr>
              <w:keepNext w:val="0"/>
              <w:keepLines w:val="0"/>
              <w:widowControl/>
              <w:suppressLineNumbers w:val="0"/>
              <w:spacing w:before="0" w:beforeAutospacing="0" w:after="0" w:afterAutospacing="0" w:line="240" w:lineRule="auto"/>
              <w:ind w:left="0" w:right="0"/>
              <w:rPr>
                <w:rFonts w:hint="eastAsia"/>
                <w:lang w:eastAsia="zh-CN"/>
              </w:rPr>
            </w:pPr>
            <w:r>
              <w:rPr>
                <w:rFonts w:hint="eastAsia"/>
              </w:rPr>
              <w:t>《应急响应报告》</w:t>
            </w:r>
          </w:p>
        </w:tc>
        <w:tc>
          <w:tcPr>
            <w:tcW w:w="2880" w:type="dxa"/>
          </w:tcPr>
          <w:p w14:paraId="4A282B78">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每次事件后3个工作日内</w:t>
            </w:r>
          </w:p>
        </w:tc>
      </w:tr>
      <w:tr w14:paraId="1E29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AC46DE2">
            <w:pPr>
              <w:keepNext w:val="0"/>
              <w:keepLines w:val="0"/>
              <w:widowControl/>
              <w:suppressLineNumbers w:val="0"/>
              <w:spacing w:before="0" w:beforeAutospacing="0" w:after="0" w:afterAutospacing="0" w:line="240" w:lineRule="auto"/>
              <w:ind w:left="0" w:right="0"/>
              <w:rPr>
                <w:rFonts w:hint="eastAsia"/>
              </w:rPr>
            </w:pPr>
            <w:r>
              <w:rPr>
                <w:rFonts w:hint="eastAsia"/>
              </w:rPr>
              <w:t>4</w:t>
            </w:r>
          </w:p>
        </w:tc>
        <w:tc>
          <w:tcPr>
            <w:tcW w:w="4943" w:type="dxa"/>
          </w:tcPr>
          <w:p w14:paraId="68BE1D1E">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《规则变更记录台账》</w:t>
            </w:r>
          </w:p>
        </w:tc>
        <w:tc>
          <w:tcPr>
            <w:tcW w:w="2880" w:type="dxa"/>
          </w:tcPr>
          <w:p w14:paraId="1D5D8200">
            <w:pPr>
              <w:keepNext w:val="0"/>
              <w:keepLines w:val="0"/>
              <w:widowControl/>
              <w:suppressLineNumbers w:val="0"/>
              <w:spacing w:before="0" w:beforeAutospacing="0" w:after="0" w:afterAutospacing="0" w:line="240" w:lineRule="auto"/>
              <w:ind w:left="0" w:right="0"/>
              <w:rPr>
                <w:rFonts w:hint="eastAsia"/>
                <w:lang w:eastAsia="zh-CN"/>
              </w:rPr>
            </w:pPr>
            <w:r>
              <w:rPr>
                <w:rFonts w:hint="eastAsia"/>
              </w:rPr>
              <w:t>季度汇总</w:t>
            </w:r>
          </w:p>
        </w:tc>
      </w:tr>
      <w:tr w14:paraId="4439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FCBEC2B">
            <w:pPr>
              <w:keepNext w:val="0"/>
              <w:keepLines w:val="0"/>
              <w:widowControl/>
              <w:suppressLineNumbers w:val="0"/>
              <w:spacing w:before="0" w:beforeAutospacing="0" w:after="0" w:afterAutospacing="0" w:line="240" w:lineRule="auto"/>
              <w:ind w:left="0" w:right="0"/>
              <w:rPr>
                <w:rFonts w:hint="eastAsia"/>
              </w:rPr>
            </w:pPr>
            <w:r>
              <w:rPr>
                <w:rFonts w:hint="eastAsia"/>
              </w:rPr>
              <w:t>5</w:t>
            </w:r>
          </w:p>
        </w:tc>
        <w:tc>
          <w:tcPr>
            <w:tcW w:w="4943" w:type="dxa"/>
          </w:tcPr>
          <w:p w14:paraId="0A1B1927">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《系统使用培训记录及操作手册》</w:t>
            </w:r>
          </w:p>
        </w:tc>
        <w:tc>
          <w:tcPr>
            <w:tcW w:w="2880" w:type="dxa"/>
          </w:tcPr>
          <w:p w14:paraId="0AC8DC0C">
            <w:pPr>
              <w:keepNext w:val="0"/>
              <w:keepLines w:val="0"/>
              <w:widowControl/>
              <w:suppressLineNumbers w:val="0"/>
              <w:spacing w:before="0" w:beforeAutospacing="0" w:after="0" w:afterAutospacing="0" w:line="240" w:lineRule="auto"/>
              <w:ind w:left="0" w:right="0"/>
              <w:rPr>
                <w:rFonts w:hint="eastAsia"/>
              </w:rPr>
            </w:pPr>
            <w:r>
              <w:rPr>
                <w:rFonts w:hint="eastAsia"/>
              </w:rPr>
              <w:t>培训后5个工作日内</w:t>
            </w:r>
          </w:p>
        </w:tc>
      </w:tr>
      <w:tr w14:paraId="6F7F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E2EF7B0">
            <w:pPr>
              <w:keepNext w:val="0"/>
              <w:keepLines w:val="0"/>
              <w:widowControl/>
              <w:suppressLineNumbers w:val="0"/>
              <w:spacing w:before="0" w:beforeAutospacing="0" w:after="0" w:afterAutospacing="0" w:line="240" w:lineRule="auto"/>
              <w:ind w:left="0" w:right="0"/>
              <w:rPr>
                <w:rFonts w:hint="eastAsia"/>
              </w:rPr>
            </w:pPr>
            <w:r>
              <w:rPr>
                <w:rFonts w:hint="eastAsia"/>
              </w:rPr>
              <w:t>6</w:t>
            </w:r>
          </w:p>
        </w:tc>
        <w:tc>
          <w:tcPr>
            <w:tcW w:w="4943" w:type="dxa"/>
          </w:tcPr>
          <w:p w14:paraId="4DA84EF6">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《年度维保总结报告》</w:t>
            </w:r>
          </w:p>
        </w:tc>
        <w:tc>
          <w:tcPr>
            <w:tcW w:w="2880" w:type="dxa"/>
          </w:tcPr>
          <w:p w14:paraId="2213B745">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服务期满后15个工作日内</w:t>
            </w:r>
          </w:p>
        </w:tc>
      </w:tr>
    </w:tbl>
    <w:p w14:paraId="27D12F1B">
      <w:r>
        <w:rPr>
          <w:rFonts w:ascii="黑体" w:hAnsi="黑体" w:eastAsia="黑体"/>
          <w:b/>
          <w:sz w:val="28"/>
        </w:rPr>
        <w:t>七、考核与付款</w:t>
      </w:r>
    </w:p>
    <w:p w14:paraId="6226A968">
      <w:r>
        <w:rPr>
          <w:rFonts w:ascii="黑体" w:hAnsi="黑体" w:eastAsia="黑体"/>
          <w:b/>
        </w:rPr>
        <w:t>（一）付款方式</w:t>
      </w:r>
    </w:p>
    <w:tbl>
      <w:tblPr>
        <w:tblStyle w:val="33"/>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559"/>
        <w:gridCol w:w="5697"/>
      </w:tblGrid>
      <w:tr w14:paraId="56F0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5352F5F6">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阶段</w:t>
            </w:r>
          </w:p>
        </w:tc>
        <w:tc>
          <w:tcPr>
            <w:tcW w:w="1559" w:type="dxa"/>
          </w:tcPr>
          <w:p w14:paraId="0B377657">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付款比例</w:t>
            </w:r>
          </w:p>
        </w:tc>
        <w:tc>
          <w:tcPr>
            <w:tcW w:w="5697" w:type="dxa"/>
          </w:tcPr>
          <w:p w14:paraId="60D46357">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条件</w:t>
            </w:r>
          </w:p>
        </w:tc>
      </w:tr>
      <w:tr w14:paraId="5648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1735C9F">
            <w:pPr>
              <w:keepNext w:val="0"/>
              <w:keepLines w:val="0"/>
              <w:widowControl/>
              <w:suppressLineNumbers w:val="0"/>
              <w:spacing w:before="0" w:beforeAutospacing="0" w:after="0" w:afterAutospacing="0" w:line="240" w:lineRule="auto"/>
              <w:ind w:left="0" w:right="0"/>
              <w:rPr>
                <w:rFonts w:hint="eastAsia"/>
              </w:rPr>
            </w:pPr>
            <w:r>
              <w:rPr>
                <w:rFonts w:hint="eastAsia"/>
              </w:rPr>
              <w:t>预付款</w:t>
            </w:r>
          </w:p>
        </w:tc>
        <w:tc>
          <w:tcPr>
            <w:tcW w:w="1559" w:type="dxa"/>
          </w:tcPr>
          <w:p w14:paraId="005BC0EE">
            <w:pPr>
              <w:keepNext w:val="0"/>
              <w:keepLines w:val="0"/>
              <w:widowControl/>
              <w:suppressLineNumbers w:val="0"/>
              <w:spacing w:before="0" w:beforeAutospacing="0" w:after="0" w:afterAutospacing="0" w:line="240" w:lineRule="auto"/>
              <w:ind w:left="0" w:right="0"/>
              <w:rPr>
                <w:rFonts w:hint="eastAsia"/>
              </w:rPr>
            </w:pPr>
            <w:r>
              <w:rPr>
                <w:rFonts w:hint="eastAsia"/>
              </w:rPr>
              <w:t>30%</w:t>
            </w:r>
          </w:p>
        </w:tc>
        <w:tc>
          <w:tcPr>
            <w:tcW w:w="5697" w:type="dxa"/>
          </w:tcPr>
          <w:p w14:paraId="2886004C">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合同签订后，收到有效发票后30个工作日内</w:t>
            </w:r>
          </w:p>
        </w:tc>
      </w:tr>
      <w:tr w14:paraId="1943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5AA932DA">
            <w:pPr>
              <w:keepNext w:val="0"/>
              <w:keepLines w:val="0"/>
              <w:widowControl/>
              <w:suppressLineNumbers w:val="0"/>
              <w:spacing w:before="0" w:beforeAutospacing="0" w:after="0" w:afterAutospacing="0" w:line="240" w:lineRule="auto"/>
              <w:ind w:left="0" w:right="0"/>
              <w:rPr>
                <w:rFonts w:hint="eastAsia"/>
              </w:rPr>
            </w:pPr>
            <w:r>
              <w:rPr>
                <w:rFonts w:hint="eastAsia"/>
              </w:rPr>
              <w:t>第一季度</w:t>
            </w:r>
          </w:p>
        </w:tc>
        <w:tc>
          <w:tcPr>
            <w:tcW w:w="1559" w:type="dxa"/>
          </w:tcPr>
          <w:p w14:paraId="7F55AF13">
            <w:pPr>
              <w:keepNext w:val="0"/>
              <w:keepLines w:val="0"/>
              <w:widowControl/>
              <w:suppressLineNumbers w:val="0"/>
              <w:spacing w:before="0" w:beforeAutospacing="0" w:after="0" w:afterAutospacing="0" w:line="240" w:lineRule="auto"/>
              <w:ind w:left="0" w:right="0"/>
              <w:rPr>
                <w:rFonts w:hint="eastAsia"/>
              </w:rPr>
            </w:pPr>
            <w:r>
              <w:rPr>
                <w:rFonts w:hint="eastAsia"/>
              </w:rPr>
              <w:t>17.5%</w:t>
            </w:r>
          </w:p>
        </w:tc>
        <w:tc>
          <w:tcPr>
            <w:tcW w:w="5697" w:type="dxa"/>
          </w:tcPr>
          <w:p w14:paraId="4A47CBD9">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季度考核合格后，收到有效发票后30个工作日内</w:t>
            </w:r>
          </w:p>
        </w:tc>
      </w:tr>
      <w:tr w14:paraId="7989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7D095221">
            <w:pPr>
              <w:keepNext w:val="0"/>
              <w:keepLines w:val="0"/>
              <w:widowControl/>
              <w:suppressLineNumbers w:val="0"/>
              <w:spacing w:before="0" w:beforeAutospacing="0" w:after="0" w:afterAutospacing="0" w:line="240" w:lineRule="auto"/>
              <w:ind w:left="0" w:right="0"/>
              <w:rPr>
                <w:rFonts w:hint="eastAsia"/>
              </w:rPr>
            </w:pPr>
            <w:r>
              <w:rPr>
                <w:rFonts w:hint="eastAsia"/>
              </w:rPr>
              <w:t>第二季度</w:t>
            </w:r>
          </w:p>
        </w:tc>
        <w:tc>
          <w:tcPr>
            <w:tcW w:w="1559" w:type="dxa"/>
          </w:tcPr>
          <w:p w14:paraId="42F97565">
            <w:pPr>
              <w:keepNext w:val="0"/>
              <w:keepLines w:val="0"/>
              <w:widowControl/>
              <w:suppressLineNumbers w:val="0"/>
              <w:spacing w:before="0" w:beforeAutospacing="0" w:after="0" w:afterAutospacing="0" w:line="240" w:lineRule="auto"/>
              <w:ind w:left="0" w:right="0"/>
              <w:rPr>
                <w:rFonts w:hint="eastAsia"/>
              </w:rPr>
            </w:pPr>
            <w:r>
              <w:rPr>
                <w:rFonts w:hint="eastAsia"/>
              </w:rPr>
              <w:t>17.5%</w:t>
            </w:r>
          </w:p>
        </w:tc>
        <w:tc>
          <w:tcPr>
            <w:tcW w:w="5697" w:type="dxa"/>
          </w:tcPr>
          <w:p w14:paraId="39E92912">
            <w:pPr>
              <w:keepNext w:val="0"/>
              <w:keepLines w:val="0"/>
              <w:widowControl/>
              <w:suppressLineNumbers w:val="0"/>
              <w:spacing w:before="0" w:beforeAutospacing="0" w:after="0" w:afterAutospacing="0" w:line="240" w:lineRule="auto"/>
              <w:ind w:left="0" w:right="0"/>
              <w:rPr>
                <w:rFonts w:hint="eastAsia"/>
              </w:rPr>
            </w:pPr>
            <w:r>
              <w:rPr>
                <w:rFonts w:hint="eastAsia"/>
              </w:rPr>
              <w:t>同上</w:t>
            </w:r>
          </w:p>
        </w:tc>
      </w:tr>
      <w:tr w14:paraId="0FC3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59C3FAB5">
            <w:pPr>
              <w:keepNext w:val="0"/>
              <w:keepLines w:val="0"/>
              <w:widowControl/>
              <w:suppressLineNumbers w:val="0"/>
              <w:spacing w:before="0" w:beforeAutospacing="0" w:after="0" w:afterAutospacing="0" w:line="240" w:lineRule="auto"/>
              <w:ind w:left="0" w:right="0"/>
              <w:rPr>
                <w:rFonts w:hint="eastAsia"/>
              </w:rPr>
            </w:pPr>
            <w:r>
              <w:rPr>
                <w:rFonts w:hint="eastAsia"/>
              </w:rPr>
              <w:t>第三季度</w:t>
            </w:r>
          </w:p>
        </w:tc>
        <w:tc>
          <w:tcPr>
            <w:tcW w:w="1559" w:type="dxa"/>
          </w:tcPr>
          <w:p w14:paraId="28A01F86">
            <w:pPr>
              <w:keepNext w:val="0"/>
              <w:keepLines w:val="0"/>
              <w:widowControl/>
              <w:suppressLineNumbers w:val="0"/>
              <w:spacing w:before="0" w:beforeAutospacing="0" w:after="0" w:afterAutospacing="0" w:line="240" w:lineRule="auto"/>
              <w:ind w:left="0" w:right="0"/>
              <w:rPr>
                <w:rFonts w:hint="eastAsia"/>
              </w:rPr>
            </w:pPr>
            <w:r>
              <w:rPr>
                <w:rFonts w:hint="eastAsia"/>
              </w:rPr>
              <w:t>17.5%</w:t>
            </w:r>
          </w:p>
        </w:tc>
        <w:tc>
          <w:tcPr>
            <w:tcW w:w="5697" w:type="dxa"/>
          </w:tcPr>
          <w:p w14:paraId="6E74CBF8">
            <w:pPr>
              <w:keepNext w:val="0"/>
              <w:keepLines w:val="0"/>
              <w:widowControl/>
              <w:suppressLineNumbers w:val="0"/>
              <w:spacing w:before="0" w:beforeAutospacing="0" w:after="0" w:afterAutospacing="0" w:line="240" w:lineRule="auto"/>
              <w:ind w:left="0" w:right="0"/>
              <w:rPr>
                <w:rFonts w:hint="eastAsia"/>
              </w:rPr>
            </w:pPr>
            <w:r>
              <w:rPr>
                <w:rFonts w:hint="eastAsia"/>
              </w:rPr>
              <w:t>同上</w:t>
            </w:r>
          </w:p>
        </w:tc>
      </w:tr>
      <w:tr w14:paraId="750F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635A3308">
            <w:pPr>
              <w:keepNext w:val="0"/>
              <w:keepLines w:val="0"/>
              <w:widowControl/>
              <w:suppressLineNumbers w:val="0"/>
              <w:spacing w:before="0" w:beforeAutospacing="0" w:after="0" w:afterAutospacing="0" w:line="240" w:lineRule="auto"/>
              <w:ind w:left="0" w:right="0"/>
              <w:rPr>
                <w:rFonts w:hint="eastAsia"/>
              </w:rPr>
            </w:pPr>
            <w:r>
              <w:rPr>
                <w:rFonts w:hint="eastAsia"/>
              </w:rPr>
              <w:t>第四季度</w:t>
            </w:r>
          </w:p>
        </w:tc>
        <w:tc>
          <w:tcPr>
            <w:tcW w:w="1559" w:type="dxa"/>
          </w:tcPr>
          <w:p w14:paraId="0781908F">
            <w:pPr>
              <w:keepNext w:val="0"/>
              <w:keepLines w:val="0"/>
              <w:widowControl/>
              <w:suppressLineNumbers w:val="0"/>
              <w:spacing w:before="0" w:beforeAutospacing="0" w:after="0" w:afterAutospacing="0" w:line="240" w:lineRule="auto"/>
              <w:ind w:left="0" w:right="0"/>
              <w:rPr>
                <w:rFonts w:hint="eastAsia"/>
              </w:rPr>
            </w:pPr>
            <w:r>
              <w:rPr>
                <w:rFonts w:hint="eastAsia"/>
              </w:rPr>
              <w:t>17.5%</w:t>
            </w:r>
          </w:p>
        </w:tc>
        <w:tc>
          <w:tcPr>
            <w:tcW w:w="5697" w:type="dxa"/>
          </w:tcPr>
          <w:p w14:paraId="3DBBA200">
            <w:pPr>
              <w:keepNext w:val="0"/>
              <w:keepLines w:val="0"/>
              <w:widowControl/>
              <w:suppressLineNumbers w:val="0"/>
              <w:spacing w:before="0" w:beforeAutospacing="0" w:after="0" w:afterAutospacing="0" w:line="240" w:lineRule="auto"/>
              <w:ind w:left="0" w:right="0"/>
              <w:rPr>
                <w:rFonts w:hint="eastAsia"/>
              </w:rPr>
            </w:pPr>
            <w:r>
              <w:rPr>
                <w:rFonts w:hint="eastAsia"/>
              </w:rPr>
              <w:t>同上</w:t>
            </w:r>
          </w:p>
        </w:tc>
      </w:tr>
    </w:tbl>
    <w:p w14:paraId="38AF9769">
      <w:r>
        <w:rPr>
          <w:rFonts w:ascii="黑体" w:hAnsi="黑体" w:eastAsia="黑体"/>
          <w:b/>
        </w:rPr>
        <w:t>（二）考核标准</w:t>
      </w:r>
    </w:p>
    <w:p w14:paraId="16E0DCCA">
      <w:pPr>
        <w:rPr>
          <w:lang w:eastAsia="zh-CN"/>
        </w:rPr>
      </w:pPr>
      <w:r>
        <w:rPr>
          <w:lang w:eastAsia="zh-CN"/>
        </w:rPr>
        <w:t>甲方每季度对乙方服务进行满意度评价，核心指标包括：响应时效达成率、巡检报告提交及时率、规则更新及时率、故障修复率、培训满意度。</w:t>
      </w:r>
    </w:p>
    <w:p w14:paraId="384F69AD">
      <w:pPr>
        <w:rPr>
          <w:lang w:eastAsia="zh-CN"/>
        </w:rPr>
      </w:pPr>
      <w:r>
        <w:rPr>
          <w:lang w:eastAsia="zh-CN"/>
        </w:rPr>
        <w:t>考核结果应用：季度评价得分低于75分的，甲方有权要求限期整改，并扣减该期款项的10%~20%；连续两个季度低于60分的，甲方有权解除合同。</w:t>
      </w:r>
    </w:p>
    <w:p w14:paraId="70027155">
      <w:r>
        <w:rPr>
          <w:rFonts w:ascii="黑体" w:hAnsi="黑体" w:eastAsia="黑体"/>
          <w:b/>
          <w:sz w:val="28"/>
        </w:rPr>
        <w:t>八、违约责任</w:t>
      </w:r>
    </w:p>
    <w:tbl>
      <w:tblPr>
        <w:tblStyle w:val="33"/>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0"/>
        <w:gridCol w:w="4320"/>
      </w:tblGrid>
      <w:tr w14:paraId="6793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3F2D3187">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违约情形</w:t>
            </w:r>
          </w:p>
        </w:tc>
        <w:tc>
          <w:tcPr>
            <w:tcW w:w="4320" w:type="dxa"/>
          </w:tcPr>
          <w:p w14:paraId="69705769">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违约责任</w:t>
            </w:r>
          </w:p>
        </w:tc>
      </w:tr>
      <w:tr w14:paraId="1B85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4344ACDE">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一般违约（不履行或不完全履行合同义务）</w:t>
            </w:r>
          </w:p>
        </w:tc>
        <w:tc>
          <w:tcPr>
            <w:tcW w:w="4320" w:type="dxa"/>
          </w:tcPr>
          <w:p w14:paraId="227E93A3">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违约方支付合同总金额10%违约金；不足抵付损失的，另行赔偿</w:t>
            </w:r>
          </w:p>
        </w:tc>
      </w:tr>
      <w:tr w14:paraId="3627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09C7F62A">
            <w:pPr>
              <w:keepNext w:val="0"/>
              <w:keepLines w:val="0"/>
              <w:widowControl/>
              <w:suppressLineNumbers w:val="0"/>
              <w:spacing w:before="0" w:beforeAutospacing="0" w:after="0" w:afterAutospacing="0" w:line="240" w:lineRule="auto"/>
              <w:ind w:left="0" w:right="0"/>
              <w:rPr>
                <w:rFonts w:hint="eastAsia"/>
              </w:rPr>
            </w:pPr>
            <w:r>
              <w:rPr>
                <w:rFonts w:hint="eastAsia"/>
              </w:rPr>
              <w:t>乙方逾期进场</w:t>
            </w:r>
          </w:p>
        </w:tc>
        <w:tc>
          <w:tcPr>
            <w:tcW w:w="4320" w:type="dxa"/>
          </w:tcPr>
          <w:p w14:paraId="36258A6F">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每逾期1日按合同总额万分之五支付违约金；逾期超15日，甲方有权解除合同</w:t>
            </w:r>
          </w:p>
        </w:tc>
      </w:tr>
      <w:tr w14:paraId="1301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01D8DD79">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乙方逾期提交季度报告或首次基线报告</w:t>
            </w:r>
          </w:p>
        </w:tc>
        <w:tc>
          <w:tcPr>
            <w:tcW w:w="4320" w:type="dxa"/>
          </w:tcPr>
          <w:p w14:paraId="15BC6D4F">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每逾期1日按合同总额万分之五支付违约金</w:t>
            </w:r>
          </w:p>
        </w:tc>
      </w:tr>
      <w:tr w14:paraId="5697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53CD8B4C">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乙方擅自更换项目负责人</w:t>
            </w:r>
          </w:p>
        </w:tc>
        <w:tc>
          <w:tcPr>
            <w:tcW w:w="4320" w:type="dxa"/>
          </w:tcPr>
          <w:p w14:paraId="004ACB61">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甲方有权解除合同，乙方支付违约金3万元</w:t>
            </w:r>
          </w:p>
        </w:tc>
      </w:tr>
      <w:tr w14:paraId="7E283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0EEDCD3D">
            <w:pPr>
              <w:keepNext w:val="0"/>
              <w:keepLines w:val="0"/>
              <w:widowControl/>
              <w:suppressLineNumbers w:val="0"/>
              <w:spacing w:before="0" w:beforeAutospacing="0" w:after="0" w:afterAutospacing="0" w:line="240" w:lineRule="auto"/>
              <w:ind w:left="0" w:right="0"/>
              <w:rPr>
                <w:rFonts w:hint="eastAsia"/>
              </w:rPr>
            </w:pPr>
            <w:r>
              <w:rPr>
                <w:rFonts w:hint="eastAsia"/>
              </w:rPr>
              <w:t>乙方擅自更换工程师</w:t>
            </w:r>
          </w:p>
        </w:tc>
        <w:tc>
          <w:tcPr>
            <w:tcW w:w="4320" w:type="dxa"/>
          </w:tcPr>
          <w:p w14:paraId="27213765">
            <w:pPr>
              <w:keepNext w:val="0"/>
              <w:keepLines w:val="0"/>
              <w:widowControl/>
              <w:suppressLineNumbers w:val="0"/>
              <w:spacing w:before="0" w:beforeAutospacing="0" w:after="0" w:afterAutospacing="0" w:line="240" w:lineRule="auto"/>
              <w:ind w:left="0" w:right="0"/>
              <w:rPr>
                <w:rFonts w:hint="eastAsia"/>
              </w:rPr>
            </w:pPr>
            <w:r>
              <w:rPr>
                <w:rFonts w:hint="eastAsia"/>
              </w:rPr>
              <w:t>每人次违约金3000元</w:t>
            </w:r>
          </w:p>
        </w:tc>
      </w:tr>
      <w:tr w14:paraId="3228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3A19F7DE">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甲方完成授权采购并通知后，乙方未及时完成升级安装</w:t>
            </w:r>
          </w:p>
        </w:tc>
        <w:tc>
          <w:tcPr>
            <w:tcW w:w="4320" w:type="dxa"/>
          </w:tcPr>
          <w:p w14:paraId="61A911A3">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每次违约金为合同总额3%，并赔偿直接损失</w:t>
            </w:r>
          </w:p>
        </w:tc>
      </w:tr>
      <w:tr w14:paraId="320B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79C3B223">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乙方系统维护不到位导致甲方被医保部门通报</w:t>
            </w:r>
          </w:p>
        </w:tc>
        <w:tc>
          <w:tcPr>
            <w:tcW w:w="4320" w:type="dxa"/>
          </w:tcPr>
          <w:p w14:paraId="492B5F0E">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每次违约金为合同总额3%</w:t>
            </w:r>
          </w:p>
        </w:tc>
      </w:tr>
      <w:tr w14:paraId="3019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13B53FB7">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乙方泄露甲方商业秘密或患者数据</w:t>
            </w:r>
          </w:p>
        </w:tc>
        <w:tc>
          <w:tcPr>
            <w:tcW w:w="4320" w:type="dxa"/>
          </w:tcPr>
          <w:p w14:paraId="2E4EB53D">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违约金为合同总额10%，并承担法律责任</w:t>
            </w:r>
          </w:p>
        </w:tc>
      </w:tr>
    </w:tbl>
    <w:p w14:paraId="1C7106BD">
      <w:r>
        <w:rPr>
          <w:rFonts w:ascii="黑体" w:hAnsi="黑体" w:eastAsia="黑体"/>
          <w:b/>
          <w:sz w:val="28"/>
        </w:rPr>
        <w:t>九、其他保留条款</w:t>
      </w:r>
    </w:p>
    <w:p w14:paraId="66DB708D">
      <w:pPr>
        <w:pStyle w:val="14"/>
        <w:numPr>
          <w:ilvl w:val="0"/>
          <w:numId w:val="8"/>
        </w:numPr>
        <w:rPr>
          <w:lang w:eastAsia="zh-CN"/>
        </w:rPr>
      </w:pPr>
      <w:r>
        <w:rPr>
          <w:lang w:eastAsia="zh-CN"/>
        </w:rPr>
        <w:t>知识产权：运维方案、技术文档、报告等知识产权归甲乙双方共有。</w:t>
      </w:r>
    </w:p>
    <w:p w14:paraId="29CBC1AB">
      <w:pPr>
        <w:pStyle w:val="14"/>
        <w:rPr>
          <w:lang w:eastAsia="zh-CN"/>
        </w:rPr>
      </w:pPr>
      <w:r>
        <w:rPr>
          <w:lang w:eastAsia="zh-CN"/>
        </w:rPr>
        <w:t>保密约定：保密期限自本合同生效之日起至合同终止后5年止。涉及国家秘密、患者个人隐私及核心业务数据、系统漏洞等敏感信息的，按相关法律法规规定的期限执行。乙方所有参与本项目的服务人员须与乙方签订保密承诺，乙方对人员泄密行为承担连带责任。</w:t>
      </w:r>
    </w:p>
    <w:p w14:paraId="23124BDF">
      <w:pPr>
        <w:pStyle w:val="14"/>
        <w:rPr>
          <w:lang w:eastAsia="zh-CN"/>
        </w:rPr>
      </w:pPr>
      <w:r>
        <w:rPr>
          <w:lang w:eastAsia="zh-CN"/>
        </w:rPr>
        <w:t>廉洁协议：双方不得以任何形式向第三方泄露本项目的经济、技术及其他非公开信息；不从事商业贿赂行为。甲方发现乙方有违反廉洁协议或相关规定采用不正当手段进行不正当竞争行为的，或被有关部门生效文书认定有行贿或者受贿行为的，甲方有权解除该业务合同，由此给甲方造成的损失以及发生的一切费用均由乙方承担，甲方有权对乙方实施商业贿赂不良记录，列入"黑名单"，并三年内取消其业务往来资格。</w:t>
      </w:r>
    </w:p>
    <w:p w14:paraId="6E6FF01F">
      <w:pPr>
        <w:pStyle w:val="14"/>
        <w:rPr>
          <w:lang w:eastAsia="zh-CN"/>
        </w:rPr>
      </w:pPr>
      <w:r>
        <w:rPr>
          <w:lang w:eastAsia="zh-CN"/>
        </w:rPr>
        <w:t>不可抗力：战争、地震、台风、水灾、火灾、雷击、疫情、罢工以及其他人力不可抗拒的因素。因不可抗力造成的项目延误，双方不承担责任。</w:t>
      </w:r>
    </w:p>
    <w:p w14:paraId="09C71B8F">
      <w:pPr>
        <w:pStyle w:val="14"/>
        <w:rPr>
          <w:lang w:eastAsia="zh-CN"/>
        </w:rPr>
      </w:pPr>
      <w:r>
        <w:rPr>
          <w:lang w:eastAsia="zh-CN"/>
        </w:rPr>
        <w:t>争议解决：向甲方所在地有管辖权的人民法院提请诉讼。</w:t>
      </w:r>
    </w:p>
    <w:p w14:paraId="408363EA">
      <w:pPr>
        <w:rPr>
          <w:lang w:eastAsia="zh-CN"/>
        </w:rPr>
      </w:pPr>
      <w:r>
        <w:rPr>
          <w:rFonts w:ascii="黑体" w:hAnsi="黑体" w:eastAsia="黑体"/>
          <w:b/>
          <w:sz w:val="28"/>
          <w:lang w:eastAsia="zh-CN"/>
        </w:rPr>
        <w:t>十、报价不含范围（明确）</w:t>
      </w:r>
    </w:p>
    <w:p w14:paraId="1ED767BA">
      <w:pPr>
        <w:rPr>
          <w:lang w:eastAsia="zh-CN"/>
        </w:rPr>
      </w:pPr>
      <w:r>
        <w:rPr>
          <w:lang w:eastAsia="zh-CN"/>
        </w:rPr>
        <w:t>以下费用不在本合同范围内，由甲方另行承担：</w:t>
      </w:r>
    </w:p>
    <w:p w14:paraId="06FBCE48">
      <w:pPr>
        <w:pStyle w:val="14"/>
        <w:numPr>
          <w:ilvl w:val="0"/>
          <w:numId w:val="9"/>
        </w:numPr>
        <w:rPr>
          <w:lang w:eastAsia="zh-CN"/>
        </w:rPr>
      </w:pPr>
      <w:r>
        <w:rPr>
          <w:lang w:eastAsia="zh-CN"/>
        </w:rPr>
        <w:t>新增功能模块开发、系统重构等超出维保范围的改造费用；</w:t>
      </w:r>
    </w:p>
    <w:p w14:paraId="5145674A">
      <w:pPr>
        <w:pStyle w:val="14"/>
        <w:rPr>
          <w:lang w:eastAsia="zh-CN"/>
        </w:rPr>
      </w:pPr>
      <w:r>
        <w:rPr>
          <w:lang w:eastAsia="zh-CN"/>
        </w:rPr>
        <w:t>HIS系统、医保平台等第三方系统的改造费用（乙方仅承担接口适配配合义务）；</w:t>
      </w:r>
    </w:p>
    <w:p w14:paraId="168E19D5">
      <w:pPr>
        <w:pStyle w:val="14"/>
        <w:rPr>
          <w:lang w:eastAsia="zh-CN"/>
        </w:rPr>
      </w:pPr>
      <w:r>
        <w:rPr>
          <w:lang w:eastAsia="zh-CN"/>
        </w:rPr>
        <w:t>服务器硬件整体维修更换费用（如主板、电源模块整体更换）。</w:t>
      </w:r>
    </w:p>
    <w:p w14:paraId="565F9DC5">
      <w:pPr>
        <w:rPr>
          <w:lang w:eastAsia="zh-CN"/>
        </w:rPr>
      </w:pPr>
      <w:r>
        <w:rPr>
          <w:rFonts w:ascii="黑体" w:hAnsi="黑体" w:eastAsia="黑体"/>
          <w:b/>
          <w:sz w:val="28"/>
          <w:lang w:eastAsia="zh-CN"/>
        </w:rPr>
        <w:t>附件</w:t>
      </w:r>
      <w:r>
        <w:rPr>
          <w:rFonts w:hint="eastAsia" w:ascii="黑体" w:hAnsi="黑体" w:eastAsia="黑体"/>
          <w:b/>
          <w:sz w:val="28"/>
          <w:lang w:eastAsia="zh-CN"/>
        </w:rPr>
        <w:t>：</w:t>
      </w:r>
    </w:p>
    <w:p w14:paraId="518EE87F">
      <w:pPr>
        <w:rPr>
          <w:lang w:eastAsia="zh-CN"/>
        </w:rPr>
      </w:pPr>
      <w:r>
        <w:rPr>
          <w:lang w:eastAsia="zh-CN"/>
        </w:rPr>
        <w:t>南宁市武鸣区中医医院DRG运营管理及医保智能审核系统维保服务季度考核表</w:t>
      </w:r>
    </w:p>
    <w:p w14:paraId="0885EDF2">
      <w:pPr>
        <w:rPr>
          <w:lang w:eastAsia="zh-CN"/>
        </w:rPr>
      </w:pPr>
      <w:r>
        <w:rPr>
          <w:lang w:eastAsia="zh-CN"/>
        </w:rPr>
        <w:br w:type="page"/>
      </w:r>
    </w:p>
    <w:p w14:paraId="2167DE81">
      <w:pPr>
        <w:jc w:val="center"/>
        <w:rPr>
          <w:rFonts w:hint="eastAsia" w:ascii="宋体" w:hAnsi="宋体" w:eastAsia="宋体" w:cs="宋体"/>
          <w:b/>
          <w:sz w:val="28"/>
          <w:lang w:eastAsia="zh-CN"/>
        </w:rPr>
      </w:pPr>
      <w:r>
        <w:rPr>
          <w:rFonts w:hint="eastAsia" w:ascii="宋体" w:hAnsi="宋体" w:eastAsia="宋体" w:cs="宋体"/>
          <w:b/>
          <w:sz w:val="28"/>
          <w:lang w:eastAsia="zh-CN"/>
        </w:rPr>
        <w:t>南宁市武鸣区中医医院DRG运营管理及医保智能审核系统维保服务</w:t>
      </w:r>
    </w:p>
    <w:p w14:paraId="7B2A4B1B">
      <w:pPr>
        <w:jc w:val="center"/>
        <w:rPr>
          <w:rFonts w:hint="eastAsia" w:ascii="宋体" w:hAnsi="宋体" w:eastAsia="宋体" w:cs="宋体"/>
          <w:lang w:eastAsia="zh-CN"/>
        </w:rPr>
      </w:pPr>
      <w:r>
        <w:rPr>
          <w:rFonts w:hint="eastAsia" w:ascii="宋体" w:hAnsi="宋体" w:eastAsia="宋体" w:cs="宋体"/>
          <w:b/>
          <w:sz w:val="28"/>
          <w:lang w:eastAsia="zh-CN"/>
        </w:rPr>
        <w:t>季度考核表</w:t>
      </w:r>
    </w:p>
    <w:p w14:paraId="13195B20">
      <w:r>
        <w:t>考核季度：第________季度（________年________月________日 — ________________年________月________日）</w:t>
      </w:r>
    </w:p>
    <w:p w14:paraId="455C7E41">
      <w:r>
        <w:rPr>
          <w:lang w:eastAsia="zh-CN"/>
        </w:rPr>
        <w:t>合同总金额：________________元</w:t>
      </w:r>
    </w:p>
    <w:p w14:paraId="62D81822">
      <w:pPr>
        <w:rPr>
          <w:lang w:eastAsia="zh-CN"/>
        </w:rPr>
      </w:pPr>
      <w:r>
        <w:rPr>
          <w:lang w:eastAsia="zh-CN"/>
        </w:rPr>
        <w:t>乙方（供应商）：________________________________________</w:t>
      </w:r>
    </w:p>
    <w:tbl>
      <w:tblPr>
        <w:tblStyle w:val="33"/>
        <w:tblW w:w="10810" w:type="dxa"/>
        <w:tblInd w:w="-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220"/>
        <w:gridCol w:w="3270"/>
        <w:gridCol w:w="1190"/>
        <w:gridCol w:w="3150"/>
        <w:gridCol w:w="1210"/>
      </w:tblGrid>
      <w:tr w14:paraId="545C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14:paraId="370DF0A1">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序号</w:t>
            </w:r>
          </w:p>
        </w:tc>
        <w:tc>
          <w:tcPr>
            <w:tcW w:w="1220" w:type="dxa"/>
          </w:tcPr>
          <w:p w14:paraId="51F8293F">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考核项目</w:t>
            </w:r>
          </w:p>
        </w:tc>
        <w:tc>
          <w:tcPr>
            <w:tcW w:w="3270" w:type="dxa"/>
          </w:tcPr>
          <w:p w14:paraId="526DA3ED">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考核内容</w:t>
            </w:r>
          </w:p>
        </w:tc>
        <w:tc>
          <w:tcPr>
            <w:tcW w:w="1190" w:type="dxa"/>
          </w:tcPr>
          <w:p w14:paraId="749BA9E7">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标准分值</w:t>
            </w:r>
          </w:p>
        </w:tc>
        <w:tc>
          <w:tcPr>
            <w:tcW w:w="3150" w:type="dxa"/>
          </w:tcPr>
          <w:p w14:paraId="252A7E4D">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评分标准</w:t>
            </w:r>
          </w:p>
        </w:tc>
        <w:tc>
          <w:tcPr>
            <w:tcW w:w="1210" w:type="dxa"/>
          </w:tcPr>
          <w:p w14:paraId="6B3E75E9">
            <w:pPr>
              <w:keepNext w:val="0"/>
              <w:keepLines w:val="0"/>
              <w:widowControl/>
              <w:suppressLineNumbers w:val="0"/>
              <w:spacing w:before="0" w:beforeAutospacing="0" w:after="0" w:afterAutospacing="0" w:line="240" w:lineRule="auto"/>
              <w:ind w:left="0" w:right="0"/>
              <w:jc w:val="center"/>
              <w:rPr>
                <w:rFonts w:hint="eastAsia"/>
              </w:rPr>
            </w:pPr>
            <w:r>
              <w:rPr>
                <w:rFonts w:hint="eastAsia"/>
                <w:b/>
              </w:rPr>
              <w:t>实际得分</w:t>
            </w:r>
          </w:p>
        </w:tc>
      </w:tr>
      <w:tr w14:paraId="06DA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14:paraId="1208C2A4">
            <w:pPr>
              <w:keepNext w:val="0"/>
              <w:keepLines w:val="0"/>
              <w:widowControl/>
              <w:suppressLineNumbers w:val="0"/>
              <w:spacing w:before="0" w:beforeAutospacing="0" w:after="0" w:afterAutospacing="0" w:line="240" w:lineRule="auto"/>
              <w:ind w:left="0" w:right="0"/>
              <w:rPr>
                <w:rFonts w:hint="eastAsia"/>
              </w:rPr>
            </w:pPr>
            <w:r>
              <w:rPr>
                <w:rFonts w:hint="eastAsia"/>
              </w:rPr>
              <w:t>1</w:t>
            </w:r>
          </w:p>
        </w:tc>
        <w:tc>
          <w:tcPr>
            <w:tcW w:w="1220" w:type="dxa"/>
          </w:tcPr>
          <w:p w14:paraId="4071491B">
            <w:pPr>
              <w:keepNext w:val="0"/>
              <w:keepLines w:val="0"/>
              <w:widowControl/>
              <w:suppressLineNumbers w:val="0"/>
              <w:spacing w:before="0" w:beforeAutospacing="0" w:after="0" w:afterAutospacing="0" w:line="240" w:lineRule="auto"/>
              <w:ind w:left="0" w:right="0"/>
              <w:rPr>
                <w:rFonts w:hint="eastAsia"/>
              </w:rPr>
            </w:pPr>
            <w:r>
              <w:rPr>
                <w:rFonts w:hint="eastAsia"/>
              </w:rPr>
              <w:t>应急响应</w:t>
            </w:r>
          </w:p>
        </w:tc>
        <w:tc>
          <w:tcPr>
            <w:tcW w:w="3270" w:type="dxa"/>
          </w:tcPr>
          <w:p w14:paraId="4E2A4295">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7×24热线畅通情况；分级响应时效达成率（一级15分钟、二级30分钟、三级2小时、四级4小时）；远程/到场时效达成率</w:t>
            </w:r>
          </w:p>
        </w:tc>
        <w:tc>
          <w:tcPr>
            <w:tcW w:w="1190" w:type="dxa"/>
          </w:tcPr>
          <w:p w14:paraId="66520884">
            <w:pPr>
              <w:keepNext w:val="0"/>
              <w:keepLines w:val="0"/>
              <w:widowControl/>
              <w:suppressLineNumbers w:val="0"/>
              <w:spacing w:before="0" w:beforeAutospacing="0" w:after="0" w:afterAutospacing="0" w:line="240" w:lineRule="auto"/>
              <w:ind w:left="0" w:right="0"/>
              <w:rPr>
                <w:rFonts w:hint="eastAsia"/>
              </w:rPr>
            </w:pPr>
            <w:r>
              <w:rPr>
                <w:rFonts w:hint="eastAsia"/>
              </w:rPr>
              <w:t>25</w:t>
            </w:r>
          </w:p>
        </w:tc>
        <w:tc>
          <w:tcPr>
            <w:tcW w:w="3150" w:type="dxa"/>
          </w:tcPr>
          <w:p w14:paraId="3EBF98CC">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达成率≥95%得满分；每降低5%扣5分；低于80%得0分</w:t>
            </w:r>
          </w:p>
        </w:tc>
        <w:tc>
          <w:tcPr>
            <w:tcW w:w="1210" w:type="dxa"/>
          </w:tcPr>
          <w:p w14:paraId="641156AE">
            <w:pPr>
              <w:keepNext w:val="0"/>
              <w:keepLines w:val="0"/>
              <w:widowControl/>
              <w:suppressLineNumbers w:val="0"/>
              <w:spacing w:before="0" w:beforeAutospacing="0" w:after="0" w:afterAutospacing="0" w:line="240" w:lineRule="auto"/>
              <w:ind w:left="0" w:right="0"/>
              <w:rPr>
                <w:rFonts w:hint="eastAsia"/>
                <w:lang w:eastAsia="zh-CN"/>
              </w:rPr>
            </w:pPr>
          </w:p>
        </w:tc>
      </w:tr>
      <w:tr w14:paraId="57E2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14:paraId="59563FD5">
            <w:pPr>
              <w:keepNext w:val="0"/>
              <w:keepLines w:val="0"/>
              <w:widowControl/>
              <w:suppressLineNumbers w:val="0"/>
              <w:spacing w:before="0" w:beforeAutospacing="0" w:after="0" w:afterAutospacing="0" w:line="240" w:lineRule="auto"/>
              <w:ind w:left="0" w:right="0"/>
              <w:rPr>
                <w:rFonts w:hint="eastAsia"/>
              </w:rPr>
            </w:pPr>
            <w:r>
              <w:rPr>
                <w:rFonts w:hint="eastAsia"/>
              </w:rPr>
              <w:t>2</w:t>
            </w:r>
          </w:p>
        </w:tc>
        <w:tc>
          <w:tcPr>
            <w:tcW w:w="1220" w:type="dxa"/>
          </w:tcPr>
          <w:p w14:paraId="74AC04DE">
            <w:pPr>
              <w:keepNext w:val="0"/>
              <w:keepLines w:val="0"/>
              <w:widowControl/>
              <w:suppressLineNumbers w:val="0"/>
              <w:spacing w:before="0" w:beforeAutospacing="0" w:after="0" w:afterAutospacing="0" w:line="240" w:lineRule="auto"/>
              <w:ind w:left="0" w:right="0"/>
              <w:rPr>
                <w:rFonts w:hint="eastAsia"/>
              </w:rPr>
            </w:pPr>
            <w:r>
              <w:rPr>
                <w:rFonts w:hint="eastAsia"/>
              </w:rPr>
              <w:t>巡检服务</w:t>
            </w:r>
          </w:p>
        </w:tc>
        <w:tc>
          <w:tcPr>
            <w:tcW w:w="3270" w:type="dxa"/>
          </w:tcPr>
          <w:p w14:paraId="1A5291DE">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季度深度巡检是否按期完成；《季度深度巡检报告》提交及时性（每季度结束后5个工作日内）、内容完整性及问题发现质量</w:t>
            </w:r>
          </w:p>
        </w:tc>
        <w:tc>
          <w:tcPr>
            <w:tcW w:w="1190" w:type="dxa"/>
          </w:tcPr>
          <w:p w14:paraId="48350C23">
            <w:pPr>
              <w:keepNext w:val="0"/>
              <w:keepLines w:val="0"/>
              <w:widowControl/>
              <w:suppressLineNumbers w:val="0"/>
              <w:spacing w:before="0" w:beforeAutospacing="0" w:after="0" w:afterAutospacing="0" w:line="240" w:lineRule="auto"/>
              <w:ind w:left="0" w:right="0"/>
              <w:rPr>
                <w:rFonts w:hint="eastAsia"/>
              </w:rPr>
            </w:pPr>
            <w:r>
              <w:rPr>
                <w:rFonts w:hint="eastAsia"/>
              </w:rPr>
              <w:t>20</w:t>
            </w:r>
          </w:p>
        </w:tc>
        <w:tc>
          <w:tcPr>
            <w:tcW w:w="3150" w:type="dxa"/>
          </w:tcPr>
          <w:p w14:paraId="291753DA">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按期完成且报告质量合格得满分；逾期1-3日扣5分；逾期超3日或报告不合格扣10分；未完成得0分</w:t>
            </w:r>
          </w:p>
        </w:tc>
        <w:tc>
          <w:tcPr>
            <w:tcW w:w="1210" w:type="dxa"/>
          </w:tcPr>
          <w:p w14:paraId="73AEC0A0">
            <w:pPr>
              <w:keepNext w:val="0"/>
              <w:keepLines w:val="0"/>
              <w:widowControl/>
              <w:suppressLineNumbers w:val="0"/>
              <w:spacing w:before="0" w:beforeAutospacing="0" w:after="0" w:afterAutospacing="0" w:line="240" w:lineRule="auto"/>
              <w:ind w:left="0" w:right="0"/>
              <w:rPr>
                <w:rFonts w:hint="eastAsia"/>
                <w:lang w:eastAsia="zh-CN"/>
              </w:rPr>
            </w:pPr>
          </w:p>
        </w:tc>
      </w:tr>
      <w:tr w14:paraId="6E52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14:paraId="2BB68D42">
            <w:pPr>
              <w:keepNext w:val="0"/>
              <w:keepLines w:val="0"/>
              <w:widowControl/>
              <w:suppressLineNumbers w:val="0"/>
              <w:spacing w:before="0" w:beforeAutospacing="0" w:after="0" w:afterAutospacing="0" w:line="240" w:lineRule="auto"/>
              <w:ind w:left="0" w:right="0"/>
              <w:rPr>
                <w:rFonts w:hint="eastAsia"/>
              </w:rPr>
            </w:pPr>
            <w:r>
              <w:rPr>
                <w:rFonts w:hint="eastAsia"/>
              </w:rPr>
              <w:t>3</w:t>
            </w:r>
          </w:p>
        </w:tc>
        <w:tc>
          <w:tcPr>
            <w:tcW w:w="1220" w:type="dxa"/>
          </w:tcPr>
          <w:p w14:paraId="5EA3B847">
            <w:pPr>
              <w:keepNext w:val="0"/>
              <w:keepLines w:val="0"/>
              <w:widowControl/>
              <w:suppressLineNumbers w:val="0"/>
              <w:spacing w:before="0" w:beforeAutospacing="0" w:after="0" w:afterAutospacing="0" w:line="240" w:lineRule="auto"/>
              <w:ind w:left="0" w:right="0"/>
              <w:rPr>
                <w:rFonts w:hint="eastAsia"/>
              </w:rPr>
            </w:pPr>
            <w:r>
              <w:rPr>
                <w:rFonts w:hint="eastAsia"/>
              </w:rPr>
              <w:t>规则更新</w:t>
            </w:r>
          </w:p>
        </w:tc>
        <w:tc>
          <w:tcPr>
            <w:tcW w:w="3270" w:type="dxa"/>
          </w:tcPr>
          <w:p w14:paraId="44D0A26A">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DRG分组器、质控规则库、监控审核规则库更新及时性（政策调整后15个工作日内完成）</w:t>
            </w:r>
          </w:p>
        </w:tc>
        <w:tc>
          <w:tcPr>
            <w:tcW w:w="1190" w:type="dxa"/>
          </w:tcPr>
          <w:p w14:paraId="32DB29F4">
            <w:pPr>
              <w:keepNext w:val="0"/>
              <w:keepLines w:val="0"/>
              <w:widowControl/>
              <w:suppressLineNumbers w:val="0"/>
              <w:spacing w:before="0" w:beforeAutospacing="0" w:after="0" w:afterAutospacing="0" w:line="240" w:lineRule="auto"/>
              <w:ind w:left="0" w:right="0"/>
              <w:rPr>
                <w:rFonts w:hint="eastAsia"/>
              </w:rPr>
            </w:pPr>
            <w:r>
              <w:rPr>
                <w:rFonts w:hint="eastAsia"/>
              </w:rPr>
              <w:t>20</w:t>
            </w:r>
          </w:p>
        </w:tc>
        <w:tc>
          <w:tcPr>
            <w:tcW w:w="3150" w:type="dxa"/>
          </w:tcPr>
          <w:p w14:paraId="108CE662">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全部及时完成得满分；每延迟1次扣5分；延迟超3次得0分</w:t>
            </w:r>
          </w:p>
        </w:tc>
        <w:tc>
          <w:tcPr>
            <w:tcW w:w="1210" w:type="dxa"/>
          </w:tcPr>
          <w:p w14:paraId="554513BA">
            <w:pPr>
              <w:keepNext w:val="0"/>
              <w:keepLines w:val="0"/>
              <w:widowControl/>
              <w:suppressLineNumbers w:val="0"/>
              <w:spacing w:before="0" w:beforeAutospacing="0" w:after="0" w:afterAutospacing="0" w:line="240" w:lineRule="auto"/>
              <w:ind w:left="0" w:right="0"/>
              <w:rPr>
                <w:rFonts w:hint="eastAsia"/>
                <w:lang w:eastAsia="zh-CN"/>
              </w:rPr>
            </w:pPr>
          </w:p>
        </w:tc>
      </w:tr>
      <w:tr w14:paraId="0AA0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14:paraId="582FF7A0">
            <w:pPr>
              <w:keepNext w:val="0"/>
              <w:keepLines w:val="0"/>
              <w:widowControl/>
              <w:suppressLineNumbers w:val="0"/>
              <w:spacing w:before="0" w:beforeAutospacing="0" w:after="0" w:afterAutospacing="0" w:line="240" w:lineRule="auto"/>
              <w:ind w:left="0" w:right="0"/>
              <w:rPr>
                <w:rFonts w:hint="eastAsia"/>
              </w:rPr>
            </w:pPr>
            <w:r>
              <w:rPr>
                <w:rFonts w:hint="eastAsia"/>
              </w:rPr>
              <w:t>4</w:t>
            </w:r>
          </w:p>
        </w:tc>
        <w:tc>
          <w:tcPr>
            <w:tcW w:w="1220" w:type="dxa"/>
          </w:tcPr>
          <w:p w14:paraId="11ED4745">
            <w:pPr>
              <w:keepNext w:val="0"/>
              <w:keepLines w:val="0"/>
              <w:widowControl/>
              <w:suppressLineNumbers w:val="0"/>
              <w:spacing w:before="0" w:beforeAutospacing="0" w:after="0" w:afterAutospacing="0" w:line="240" w:lineRule="auto"/>
              <w:ind w:left="0" w:right="0"/>
              <w:rPr>
                <w:rFonts w:hint="eastAsia"/>
              </w:rPr>
            </w:pPr>
            <w:r>
              <w:rPr>
                <w:rFonts w:hint="eastAsia"/>
              </w:rPr>
              <w:t>功能维护</w:t>
            </w:r>
          </w:p>
        </w:tc>
        <w:tc>
          <w:tcPr>
            <w:tcW w:w="3270" w:type="dxa"/>
          </w:tcPr>
          <w:p w14:paraId="55B54D77">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系统缺陷修复及时率；功能优化需求响应及完成质量；数据接口调试配合情况</w:t>
            </w:r>
          </w:p>
        </w:tc>
        <w:tc>
          <w:tcPr>
            <w:tcW w:w="1190" w:type="dxa"/>
          </w:tcPr>
          <w:p w14:paraId="33FA3600">
            <w:pPr>
              <w:keepNext w:val="0"/>
              <w:keepLines w:val="0"/>
              <w:widowControl/>
              <w:suppressLineNumbers w:val="0"/>
              <w:spacing w:before="0" w:beforeAutospacing="0" w:after="0" w:afterAutospacing="0" w:line="240" w:lineRule="auto"/>
              <w:ind w:left="0" w:right="0"/>
              <w:rPr>
                <w:rFonts w:hint="eastAsia"/>
              </w:rPr>
            </w:pPr>
            <w:r>
              <w:rPr>
                <w:rFonts w:hint="eastAsia"/>
              </w:rPr>
              <w:t>15</w:t>
            </w:r>
          </w:p>
        </w:tc>
        <w:tc>
          <w:tcPr>
            <w:tcW w:w="3150" w:type="dxa"/>
          </w:tcPr>
          <w:p w14:paraId="7CF6B4E2">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及时修复且质量合格得满分；每延迟1次扣3分；修复质量不合格每次扣5分</w:t>
            </w:r>
          </w:p>
        </w:tc>
        <w:tc>
          <w:tcPr>
            <w:tcW w:w="1210" w:type="dxa"/>
          </w:tcPr>
          <w:p w14:paraId="620FCA82">
            <w:pPr>
              <w:keepNext w:val="0"/>
              <w:keepLines w:val="0"/>
              <w:widowControl/>
              <w:suppressLineNumbers w:val="0"/>
              <w:spacing w:before="0" w:beforeAutospacing="0" w:after="0" w:afterAutospacing="0" w:line="240" w:lineRule="auto"/>
              <w:ind w:left="0" w:right="0"/>
              <w:rPr>
                <w:rFonts w:hint="eastAsia"/>
                <w:lang w:eastAsia="zh-CN"/>
              </w:rPr>
            </w:pPr>
          </w:p>
        </w:tc>
      </w:tr>
      <w:tr w14:paraId="38A5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14:paraId="5B0CF840">
            <w:pPr>
              <w:keepNext w:val="0"/>
              <w:keepLines w:val="0"/>
              <w:widowControl/>
              <w:suppressLineNumbers w:val="0"/>
              <w:spacing w:before="0" w:beforeAutospacing="0" w:after="0" w:afterAutospacing="0" w:line="240" w:lineRule="auto"/>
              <w:ind w:left="0" w:right="0"/>
              <w:rPr>
                <w:rFonts w:hint="eastAsia"/>
              </w:rPr>
            </w:pPr>
            <w:r>
              <w:rPr>
                <w:rFonts w:hint="eastAsia"/>
              </w:rPr>
              <w:t>5</w:t>
            </w:r>
          </w:p>
        </w:tc>
        <w:tc>
          <w:tcPr>
            <w:tcW w:w="1220" w:type="dxa"/>
          </w:tcPr>
          <w:p w14:paraId="00A712AD">
            <w:pPr>
              <w:keepNext w:val="0"/>
              <w:keepLines w:val="0"/>
              <w:widowControl/>
              <w:suppressLineNumbers w:val="0"/>
              <w:spacing w:before="0" w:beforeAutospacing="0" w:after="0" w:afterAutospacing="0" w:line="240" w:lineRule="auto"/>
              <w:ind w:left="0" w:right="0"/>
              <w:rPr>
                <w:rFonts w:hint="eastAsia"/>
              </w:rPr>
            </w:pPr>
            <w:r>
              <w:rPr>
                <w:rFonts w:hint="eastAsia"/>
              </w:rPr>
              <w:t>数据接口维护</w:t>
            </w:r>
          </w:p>
        </w:tc>
        <w:tc>
          <w:tcPr>
            <w:tcW w:w="3270" w:type="dxa"/>
          </w:tcPr>
          <w:p w14:paraId="1C9180CC">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HIS系统升级时接口适配联调及时性；医保平台对接稳定性</w:t>
            </w:r>
          </w:p>
        </w:tc>
        <w:tc>
          <w:tcPr>
            <w:tcW w:w="1190" w:type="dxa"/>
          </w:tcPr>
          <w:p w14:paraId="63CBCE07">
            <w:pPr>
              <w:keepNext w:val="0"/>
              <w:keepLines w:val="0"/>
              <w:widowControl/>
              <w:suppressLineNumbers w:val="0"/>
              <w:spacing w:before="0" w:beforeAutospacing="0" w:after="0" w:afterAutospacing="0" w:line="240" w:lineRule="auto"/>
              <w:ind w:left="0" w:right="0"/>
              <w:rPr>
                <w:rFonts w:hint="eastAsia"/>
              </w:rPr>
            </w:pPr>
            <w:r>
              <w:rPr>
                <w:rFonts w:hint="eastAsia"/>
              </w:rPr>
              <w:t>10</w:t>
            </w:r>
          </w:p>
        </w:tc>
        <w:tc>
          <w:tcPr>
            <w:tcW w:w="3150" w:type="dxa"/>
          </w:tcPr>
          <w:p w14:paraId="53026987">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及时配合且稳定运行得满分；配合不到位导致数据上报异常每次扣5分</w:t>
            </w:r>
          </w:p>
        </w:tc>
        <w:tc>
          <w:tcPr>
            <w:tcW w:w="1210" w:type="dxa"/>
          </w:tcPr>
          <w:p w14:paraId="5F9D22C9">
            <w:pPr>
              <w:keepNext w:val="0"/>
              <w:keepLines w:val="0"/>
              <w:widowControl/>
              <w:suppressLineNumbers w:val="0"/>
              <w:spacing w:before="0" w:beforeAutospacing="0" w:after="0" w:afterAutospacing="0" w:line="240" w:lineRule="auto"/>
              <w:ind w:left="0" w:right="0"/>
              <w:rPr>
                <w:rFonts w:hint="eastAsia"/>
                <w:lang w:eastAsia="zh-CN"/>
              </w:rPr>
            </w:pPr>
          </w:p>
        </w:tc>
      </w:tr>
      <w:tr w14:paraId="64A4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14:paraId="043EA3D2">
            <w:pPr>
              <w:keepNext w:val="0"/>
              <w:keepLines w:val="0"/>
              <w:widowControl/>
              <w:suppressLineNumbers w:val="0"/>
              <w:spacing w:before="0" w:beforeAutospacing="0" w:after="0" w:afterAutospacing="0" w:line="240" w:lineRule="auto"/>
              <w:ind w:left="0" w:right="0"/>
              <w:rPr>
                <w:rFonts w:hint="eastAsia"/>
              </w:rPr>
            </w:pPr>
            <w:r>
              <w:rPr>
                <w:rFonts w:hint="eastAsia"/>
              </w:rPr>
              <w:t>6</w:t>
            </w:r>
          </w:p>
        </w:tc>
        <w:tc>
          <w:tcPr>
            <w:tcW w:w="1220" w:type="dxa"/>
          </w:tcPr>
          <w:p w14:paraId="7ECC618F">
            <w:pPr>
              <w:keepNext w:val="0"/>
              <w:keepLines w:val="0"/>
              <w:widowControl/>
              <w:suppressLineNumbers w:val="0"/>
              <w:spacing w:before="0" w:beforeAutospacing="0" w:after="0" w:afterAutospacing="0" w:line="240" w:lineRule="auto"/>
              <w:ind w:left="0" w:right="0"/>
              <w:rPr>
                <w:rFonts w:hint="eastAsia"/>
              </w:rPr>
            </w:pPr>
            <w:r>
              <w:rPr>
                <w:rFonts w:hint="eastAsia"/>
              </w:rPr>
              <w:t>人员管理</w:t>
            </w:r>
          </w:p>
        </w:tc>
        <w:tc>
          <w:tcPr>
            <w:tcW w:w="3270" w:type="dxa"/>
          </w:tcPr>
          <w:p w14:paraId="31D2F432">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项目负责人是否擅自更换；工程师是否按约定到场；培训服务完成情况</w:t>
            </w:r>
          </w:p>
        </w:tc>
        <w:tc>
          <w:tcPr>
            <w:tcW w:w="1190" w:type="dxa"/>
          </w:tcPr>
          <w:p w14:paraId="1F3A692A">
            <w:pPr>
              <w:keepNext w:val="0"/>
              <w:keepLines w:val="0"/>
              <w:widowControl/>
              <w:suppressLineNumbers w:val="0"/>
              <w:spacing w:before="0" w:beforeAutospacing="0" w:after="0" w:afterAutospacing="0" w:line="240" w:lineRule="auto"/>
              <w:ind w:left="0" w:right="0"/>
              <w:rPr>
                <w:rFonts w:hint="eastAsia"/>
              </w:rPr>
            </w:pPr>
            <w:r>
              <w:rPr>
                <w:rFonts w:hint="eastAsia"/>
              </w:rPr>
              <w:t>10</w:t>
            </w:r>
          </w:p>
        </w:tc>
        <w:tc>
          <w:tcPr>
            <w:tcW w:w="3150" w:type="dxa"/>
          </w:tcPr>
          <w:p w14:paraId="60C5E472">
            <w:pPr>
              <w:keepNext w:val="0"/>
              <w:keepLines w:val="0"/>
              <w:widowControl/>
              <w:suppressLineNumbers w:val="0"/>
              <w:spacing w:before="0" w:beforeAutospacing="0" w:after="0" w:afterAutospacing="0" w:line="240" w:lineRule="auto"/>
              <w:ind w:left="0" w:right="0"/>
              <w:rPr>
                <w:rFonts w:hint="eastAsia"/>
                <w:lang w:eastAsia="zh-CN"/>
              </w:rPr>
            </w:pPr>
            <w:r>
              <w:rPr>
                <w:rFonts w:hint="eastAsia"/>
                <w:lang w:eastAsia="zh-CN"/>
              </w:rPr>
              <w:t>无更换、人员到位、培训完成得满分；擅自更换项目负责人得0分并触发违约责任；工程师未到位每次扣2分；培训未完成扣5分</w:t>
            </w:r>
          </w:p>
        </w:tc>
        <w:tc>
          <w:tcPr>
            <w:tcW w:w="1210" w:type="dxa"/>
          </w:tcPr>
          <w:p w14:paraId="7E1DA7A3">
            <w:pPr>
              <w:keepNext w:val="0"/>
              <w:keepLines w:val="0"/>
              <w:widowControl/>
              <w:suppressLineNumbers w:val="0"/>
              <w:spacing w:before="0" w:beforeAutospacing="0" w:after="0" w:afterAutospacing="0" w:line="240" w:lineRule="auto"/>
              <w:ind w:left="0" w:right="0"/>
              <w:rPr>
                <w:rFonts w:hint="eastAsia"/>
                <w:lang w:eastAsia="zh-CN"/>
              </w:rPr>
            </w:pPr>
          </w:p>
        </w:tc>
      </w:tr>
      <w:tr w14:paraId="7CF2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770" w:type="dxa"/>
          </w:tcPr>
          <w:p w14:paraId="0894EE78">
            <w:pPr>
              <w:keepNext w:val="0"/>
              <w:keepLines w:val="0"/>
              <w:widowControl/>
              <w:suppressLineNumbers w:val="0"/>
              <w:spacing w:before="0" w:beforeAutospacing="0" w:after="0" w:afterAutospacing="0" w:line="240" w:lineRule="auto"/>
              <w:ind w:left="0" w:right="0"/>
              <w:rPr>
                <w:rFonts w:hint="eastAsia"/>
                <w:lang w:eastAsia="zh-CN"/>
              </w:rPr>
            </w:pPr>
          </w:p>
        </w:tc>
        <w:tc>
          <w:tcPr>
            <w:tcW w:w="1220" w:type="dxa"/>
          </w:tcPr>
          <w:p w14:paraId="20934782">
            <w:pPr>
              <w:keepNext w:val="0"/>
              <w:keepLines w:val="0"/>
              <w:widowControl/>
              <w:suppressLineNumbers w:val="0"/>
              <w:spacing w:before="0" w:beforeAutospacing="0" w:after="0" w:afterAutospacing="0" w:line="240" w:lineRule="auto"/>
              <w:ind w:left="0" w:right="0"/>
              <w:rPr>
                <w:rFonts w:hint="eastAsia"/>
              </w:rPr>
            </w:pPr>
            <w:r>
              <w:rPr>
                <w:rFonts w:hint="eastAsia"/>
                <w:b/>
              </w:rPr>
              <w:t>合计</w:t>
            </w:r>
          </w:p>
        </w:tc>
        <w:tc>
          <w:tcPr>
            <w:tcW w:w="3270" w:type="dxa"/>
          </w:tcPr>
          <w:p w14:paraId="309EA36F">
            <w:pPr>
              <w:keepNext w:val="0"/>
              <w:keepLines w:val="0"/>
              <w:widowControl/>
              <w:suppressLineNumbers w:val="0"/>
              <w:spacing w:before="0" w:beforeAutospacing="0" w:after="0" w:afterAutospacing="0" w:line="240" w:lineRule="auto"/>
              <w:ind w:left="0" w:right="0"/>
              <w:rPr>
                <w:rFonts w:hint="eastAsia"/>
              </w:rPr>
            </w:pPr>
          </w:p>
        </w:tc>
        <w:tc>
          <w:tcPr>
            <w:tcW w:w="1190" w:type="dxa"/>
          </w:tcPr>
          <w:p w14:paraId="03E9072E">
            <w:pPr>
              <w:keepNext w:val="0"/>
              <w:keepLines w:val="0"/>
              <w:widowControl/>
              <w:suppressLineNumbers w:val="0"/>
              <w:spacing w:before="0" w:beforeAutospacing="0" w:after="0" w:afterAutospacing="0" w:line="240" w:lineRule="auto"/>
              <w:ind w:left="0" w:right="0"/>
              <w:rPr>
                <w:rFonts w:hint="eastAsia"/>
              </w:rPr>
            </w:pPr>
            <w:r>
              <w:rPr>
                <w:rFonts w:hint="eastAsia"/>
                <w:b/>
              </w:rPr>
              <w:t>100</w:t>
            </w:r>
          </w:p>
        </w:tc>
        <w:tc>
          <w:tcPr>
            <w:tcW w:w="3150" w:type="dxa"/>
          </w:tcPr>
          <w:p w14:paraId="4A177895">
            <w:pPr>
              <w:keepNext w:val="0"/>
              <w:keepLines w:val="0"/>
              <w:widowControl/>
              <w:suppressLineNumbers w:val="0"/>
              <w:spacing w:before="0" w:beforeAutospacing="0" w:after="0" w:afterAutospacing="0" w:line="240" w:lineRule="auto"/>
              <w:ind w:left="0" w:right="0"/>
              <w:rPr>
                <w:rFonts w:hint="eastAsia"/>
              </w:rPr>
            </w:pPr>
          </w:p>
        </w:tc>
        <w:tc>
          <w:tcPr>
            <w:tcW w:w="1210" w:type="dxa"/>
          </w:tcPr>
          <w:p w14:paraId="7BC62E9D">
            <w:pPr>
              <w:keepNext w:val="0"/>
              <w:keepLines w:val="0"/>
              <w:widowControl/>
              <w:suppressLineNumbers w:val="0"/>
              <w:spacing w:before="0" w:beforeAutospacing="0" w:after="0" w:afterAutospacing="0" w:line="240" w:lineRule="auto"/>
              <w:ind w:left="0" w:right="0"/>
              <w:rPr>
                <w:rFonts w:hint="eastAsia"/>
              </w:rPr>
            </w:pPr>
          </w:p>
        </w:tc>
      </w:tr>
    </w:tbl>
    <w:p w14:paraId="37A4D9F4">
      <w:r>
        <w:rPr>
          <w:rFonts w:ascii="黑体" w:hAnsi="黑体" w:eastAsia="黑体"/>
          <w:b/>
        </w:rPr>
        <w:t>一、考核结论</w:t>
      </w:r>
    </w:p>
    <w:p w14:paraId="28CD197D">
      <w:r>
        <w:t>考核总分：________分</w:t>
      </w:r>
    </w:p>
    <w:p w14:paraId="0BAEDBD6">
      <w:pPr>
        <w:rPr>
          <w:lang w:eastAsia="zh-CN"/>
        </w:rPr>
      </w:pPr>
      <w:r>
        <w:rPr>
          <w:lang w:eastAsia="zh-CN"/>
        </w:rPr>
        <w:t>考核等级：□ 优秀（90-100分） □ 合格（75-89分） □ 限期整改（60-74分） □ 不合格（低于60分）</w:t>
      </w:r>
    </w:p>
    <w:p w14:paraId="2D40F240">
      <w:pPr>
        <w:rPr>
          <w:lang w:eastAsia="zh-CN"/>
        </w:rPr>
      </w:pPr>
      <w:r>
        <w:rPr>
          <w:rFonts w:ascii="黑体" w:hAnsi="黑体" w:eastAsia="黑体"/>
          <w:b/>
          <w:lang w:eastAsia="zh-CN"/>
        </w:rPr>
        <w:t>二、结果应用</w:t>
      </w:r>
    </w:p>
    <w:p w14:paraId="756847B9">
      <w:pPr>
        <w:rPr>
          <w:lang w:eastAsia="zh-CN"/>
        </w:rPr>
      </w:pPr>
      <w:r>
        <w:rPr>
          <w:lang w:eastAsia="zh-CN"/>
        </w:rPr>
        <w:t>□ 该期款项正常支付（≥75分）</w:t>
      </w:r>
    </w:p>
    <w:p w14:paraId="4BD5E685">
      <w:pPr>
        <w:rPr>
          <w:lang w:eastAsia="zh-CN"/>
        </w:rPr>
      </w:pPr>
      <w:r>
        <w:rPr>
          <w:lang w:eastAsia="zh-CN"/>
        </w:rPr>
        <w:t>□ 扣减该期款项________%（60-74分，扣减比例10%-20%），限期整改</w:t>
      </w:r>
    </w:p>
    <w:p w14:paraId="4736B17B">
      <w:pPr>
        <w:rPr>
          <w:lang w:eastAsia="zh-CN"/>
        </w:rPr>
      </w:pPr>
      <w:r>
        <w:rPr>
          <w:lang w:eastAsia="zh-CN"/>
        </w:rPr>
        <w:t>□ 扣减该期款项20%，连续两个季度低于60分，启动合同解除程序</w:t>
      </w:r>
    </w:p>
    <w:p w14:paraId="731F1343">
      <w:r>
        <w:t>备注说明：________________________________________</w:t>
      </w:r>
    </w:p>
    <w:tbl>
      <w:tblPr>
        <w:tblStyle w:val="33"/>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0"/>
        <w:gridCol w:w="4740"/>
      </w:tblGrid>
      <w:tr w14:paraId="278D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4740" w:type="dxa"/>
          </w:tcPr>
          <w:p w14:paraId="1C80B445">
            <w:pPr>
              <w:keepNext w:val="0"/>
              <w:keepLines w:val="0"/>
              <w:widowControl/>
              <w:suppressLineNumbers w:val="0"/>
              <w:spacing w:before="0" w:beforeAutospacing="0" w:after="0" w:afterAutospacing="0" w:line="240" w:lineRule="auto"/>
              <w:ind w:left="0" w:right="0"/>
              <w:rPr>
                <w:rFonts w:hint="eastAsia"/>
              </w:rPr>
            </w:pPr>
          </w:p>
          <w:p w14:paraId="632030CD">
            <w:pPr>
              <w:keepNext w:val="0"/>
              <w:keepLines w:val="0"/>
              <w:widowControl/>
              <w:suppressLineNumbers w:val="0"/>
              <w:spacing w:before="0" w:beforeAutospacing="0" w:after="0" w:afterAutospacing="0" w:line="240" w:lineRule="auto"/>
              <w:ind w:left="0" w:right="0"/>
              <w:rPr>
                <w:rFonts w:hint="eastAsia"/>
              </w:rPr>
            </w:pPr>
            <w:r>
              <w:rPr>
                <w:rFonts w:hint="eastAsia"/>
              </w:rPr>
              <w:t>甲方考核人签字：________________</w:t>
            </w:r>
          </w:p>
        </w:tc>
        <w:tc>
          <w:tcPr>
            <w:tcW w:w="4740" w:type="dxa"/>
          </w:tcPr>
          <w:p w14:paraId="79F72E8D">
            <w:pPr>
              <w:keepNext w:val="0"/>
              <w:keepLines w:val="0"/>
              <w:widowControl/>
              <w:suppressLineNumbers w:val="0"/>
              <w:spacing w:before="0" w:beforeAutospacing="0" w:after="0" w:afterAutospacing="0" w:line="240" w:lineRule="auto"/>
              <w:ind w:left="0" w:right="0"/>
              <w:rPr>
                <w:rFonts w:hint="eastAsia"/>
              </w:rPr>
            </w:pPr>
          </w:p>
          <w:p w14:paraId="4B832D45">
            <w:pPr>
              <w:keepNext w:val="0"/>
              <w:keepLines w:val="0"/>
              <w:widowControl/>
              <w:suppressLineNumbers w:val="0"/>
              <w:spacing w:before="0" w:beforeAutospacing="0" w:after="0" w:afterAutospacing="0" w:line="240" w:lineRule="auto"/>
              <w:ind w:left="0" w:right="0"/>
              <w:rPr>
                <w:rFonts w:hint="eastAsia"/>
              </w:rPr>
            </w:pPr>
            <w:r>
              <w:rPr>
                <w:rFonts w:hint="eastAsia"/>
              </w:rPr>
              <w:t>乙方确认人签字：________________</w:t>
            </w:r>
          </w:p>
        </w:tc>
      </w:tr>
      <w:tr w14:paraId="3A1D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4740" w:type="dxa"/>
          </w:tcPr>
          <w:p w14:paraId="2541D33B">
            <w:pPr>
              <w:keepNext w:val="0"/>
              <w:keepLines w:val="0"/>
              <w:widowControl/>
              <w:suppressLineNumbers w:val="0"/>
              <w:spacing w:before="0" w:beforeAutospacing="0" w:after="0" w:afterAutospacing="0" w:line="240" w:lineRule="auto"/>
              <w:ind w:left="0" w:right="0"/>
              <w:rPr>
                <w:rFonts w:hint="eastAsia"/>
              </w:rPr>
            </w:pPr>
          </w:p>
          <w:p w14:paraId="1A421AD6">
            <w:pPr>
              <w:keepNext w:val="0"/>
              <w:keepLines w:val="0"/>
              <w:widowControl/>
              <w:suppressLineNumbers w:val="0"/>
              <w:spacing w:before="0" w:beforeAutospacing="0" w:after="0" w:afterAutospacing="0" w:line="240" w:lineRule="auto"/>
              <w:ind w:left="0" w:right="0"/>
              <w:rPr>
                <w:rFonts w:hint="eastAsia"/>
              </w:rPr>
            </w:pPr>
            <w:r>
              <w:rPr>
                <w:rFonts w:hint="eastAsia"/>
              </w:rPr>
              <w:t>所在部门：________________</w:t>
            </w:r>
          </w:p>
        </w:tc>
        <w:tc>
          <w:tcPr>
            <w:tcW w:w="4740" w:type="dxa"/>
          </w:tcPr>
          <w:p w14:paraId="340D68A6">
            <w:pPr>
              <w:keepNext w:val="0"/>
              <w:keepLines w:val="0"/>
              <w:widowControl/>
              <w:suppressLineNumbers w:val="0"/>
              <w:spacing w:before="0" w:beforeAutospacing="0" w:after="0" w:afterAutospacing="0" w:line="240" w:lineRule="auto"/>
              <w:ind w:left="0" w:right="0"/>
              <w:rPr>
                <w:rFonts w:hint="eastAsia"/>
              </w:rPr>
            </w:pPr>
          </w:p>
          <w:p w14:paraId="6FC2A193">
            <w:pPr>
              <w:keepNext w:val="0"/>
              <w:keepLines w:val="0"/>
              <w:widowControl/>
              <w:suppressLineNumbers w:val="0"/>
              <w:spacing w:before="0" w:beforeAutospacing="0" w:after="0" w:afterAutospacing="0" w:line="240" w:lineRule="auto"/>
              <w:ind w:left="0" w:right="0"/>
              <w:rPr>
                <w:rFonts w:hint="eastAsia"/>
              </w:rPr>
            </w:pPr>
            <w:r>
              <w:rPr>
                <w:rFonts w:hint="eastAsia"/>
              </w:rPr>
              <w:t>联系电话：________________</w:t>
            </w:r>
          </w:p>
        </w:tc>
      </w:tr>
      <w:tr w14:paraId="560F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4740" w:type="dxa"/>
          </w:tcPr>
          <w:p w14:paraId="13841212">
            <w:pPr>
              <w:keepNext w:val="0"/>
              <w:keepLines w:val="0"/>
              <w:widowControl/>
              <w:suppressLineNumbers w:val="0"/>
              <w:spacing w:before="0" w:beforeAutospacing="0" w:after="0" w:afterAutospacing="0" w:line="240" w:lineRule="auto"/>
              <w:ind w:left="0" w:right="0"/>
              <w:rPr>
                <w:rFonts w:hint="eastAsia"/>
              </w:rPr>
            </w:pPr>
          </w:p>
          <w:p w14:paraId="4080EC67">
            <w:pPr>
              <w:keepNext w:val="0"/>
              <w:keepLines w:val="0"/>
              <w:widowControl/>
              <w:suppressLineNumbers w:val="0"/>
              <w:spacing w:before="0" w:beforeAutospacing="0" w:after="0" w:afterAutospacing="0" w:line="240" w:lineRule="auto"/>
              <w:ind w:left="0" w:right="0"/>
              <w:rPr>
                <w:rFonts w:hint="eastAsia"/>
              </w:rPr>
            </w:pPr>
            <w:r>
              <w:rPr>
                <w:rFonts w:hint="eastAsia"/>
              </w:rPr>
              <w:t>日期：________年________月______日</w:t>
            </w:r>
          </w:p>
        </w:tc>
        <w:tc>
          <w:tcPr>
            <w:tcW w:w="4740" w:type="dxa"/>
          </w:tcPr>
          <w:p w14:paraId="7D40D88E">
            <w:pPr>
              <w:keepNext w:val="0"/>
              <w:keepLines w:val="0"/>
              <w:widowControl/>
              <w:suppressLineNumbers w:val="0"/>
              <w:spacing w:before="0" w:beforeAutospacing="0" w:after="0" w:afterAutospacing="0" w:line="240" w:lineRule="auto"/>
              <w:ind w:left="0" w:right="0"/>
              <w:rPr>
                <w:rFonts w:hint="eastAsia"/>
              </w:rPr>
            </w:pPr>
          </w:p>
          <w:p w14:paraId="55AD94B8">
            <w:pPr>
              <w:keepNext w:val="0"/>
              <w:keepLines w:val="0"/>
              <w:widowControl/>
              <w:suppressLineNumbers w:val="0"/>
              <w:spacing w:before="0" w:beforeAutospacing="0" w:after="0" w:afterAutospacing="0" w:line="240" w:lineRule="auto"/>
              <w:ind w:left="0" w:right="0"/>
              <w:rPr>
                <w:rFonts w:hint="eastAsia"/>
              </w:rPr>
            </w:pPr>
            <w:r>
              <w:rPr>
                <w:rFonts w:hint="eastAsia"/>
              </w:rPr>
              <w:t>日期：________年________月______日</w:t>
            </w:r>
          </w:p>
        </w:tc>
      </w:tr>
    </w:tbl>
    <w:p w14:paraId="0652D1AC"/>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86"/>
    <w:family w:val="roman"/>
    <w:pitch w:val="default"/>
    <w:sig w:usb0="E00006FF" w:usb1="420024FF" w:usb2="02000000" w:usb3="00000000" w:csb0="200001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409020205020404"/>
    <w:charset w:val="00"/>
    <w:family w:val="auto"/>
    <w:pitch w:val="default"/>
    <w:sig w:usb0="00000000" w:usb1="00000000" w:usb2="00000000" w:usb3="00000000" w:csb0="00000001" w:csb1="00000000"/>
  </w:font>
  <w:font w:name="MS Mincho">
    <w:panose1 w:val="02020609040205080304"/>
    <w:charset w:val="86"/>
    <w:family w:val="auto"/>
    <w:pitch w:val="default"/>
    <w:sig w:usb0="A00002BF" w:usb1="68C7FCFB" w:usb2="00000010" w:usb3="00000000" w:csb0="4002009F" w:csb1="DFD70000"/>
  </w:font>
  <w:font w:name="方正小标宋简体">
    <w:panose1 w:val="03000509000000000000"/>
    <w:charset w:val="86"/>
    <w:family w:val="script"/>
    <w:pitch w:val="default"/>
    <w:sig w:usb0="00000001" w:usb1="080E0000" w:usb2="00000000" w:usb3="00000000" w:csb0="00040000" w:csb1="00000000"/>
  </w:font>
  <w:font w:name="MS Mincho">
    <w:panose1 w:val="02020609040205080304"/>
    <w:charset w:val="80"/>
    <w:family w:val="auto"/>
    <w:pitch w:val="default"/>
    <w:sig w:usb0="A00002BF" w:usb1="68C7FCFB" w:usb2="00000010" w:usb3="00000000" w:csb0="4002009F" w:csb1="DFD7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documentProtection w:enforcement="0"/>
  <w:defaultTabStop w:val="720"/>
  <w:displayHorizontalDrawingGridEvery w:val="0"/>
  <w:displayVerticalDrawingGridEvery w:val="2"/>
  <w:characterSpacingControl w:val="doNotCompress"/>
  <w:footnotePr>
    <w:footnote w:id="0"/>
    <w:footnote w:id="1"/>
  </w:footnotePr>
  <w:endnotePr>
    <w:endnote w:id="0"/>
    <w:endnote w:id="1"/>
  </w:endnotePr>
  <w:compat>
    <w:balanceSingleByteDoubleByteWidth/>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5AE6"/>
    <w:rsid w:val="00034616"/>
    <w:rsid w:val="0006063C"/>
    <w:rsid w:val="000847D7"/>
    <w:rsid w:val="0015074B"/>
    <w:rsid w:val="0029639D"/>
    <w:rsid w:val="002A0345"/>
    <w:rsid w:val="00307023"/>
    <w:rsid w:val="00326F90"/>
    <w:rsid w:val="00361DB1"/>
    <w:rsid w:val="0045707D"/>
    <w:rsid w:val="007E2428"/>
    <w:rsid w:val="009D430F"/>
    <w:rsid w:val="00AA1D8D"/>
    <w:rsid w:val="00B47730"/>
    <w:rsid w:val="00BA1334"/>
    <w:rsid w:val="00CB0664"/>
    <w:rsid w:val="00D540B8"/>
    <w:rsid w:val="00F14D2D"/>
    <w:rsid w:val="00FC693F"/>
    <w:rsid w:val="23544E20"/>
    <w:rsid w:val="25C8743F"/>
    <w:rsid w:val="3EF31560"/>
    <w:rsid w:val="49DA2893"/>
    <w:rsid w:val="6AD075A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Cambria" w:cs="Cambri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qFormat="1" w:uiPriority="99" w:semiHidden="0" w:name="List Bullet"/>
    <w:lsdException w:qFormat="1" w:uiPriority="99" w:semiHidden="0" w:name="List Number"/>
    <w:lsdException w:qFormat="1" w:uiPriority="99" w:semiHidden="0" w:name="List 2"/>
    <w:lsdException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qFormat="1"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qFormat="1"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qFormat="1" w:unhideWhenUsed="0" w:uiPriority="71" w:semiHidden="0" w:name="Colorful Shading Accent 2"/>
    <w:lsdException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qFormat="1"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qFormat="1"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qFormat="1"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uiPriority w:val="99"/>
    <w:pPr>
      <w:keepNext w:val="0"/>
      <w:keepLines w:val="0"/>
      <w:widowControl/>
      <w:suppressLineNumbers w:val="0"/>
      <w:spacing w:before="0" w:beforeAutospacing="0" w:after="200" w:afterAutospacing="0" w:line="276" w:lineRule="auto"/>
      <w:ind w:left="0" w:right="0"/>
    </w:pPr>
    <w:rPr>
      <w:rFonts w:hint="eastAsia" w:ascii="Cambria" w:hAnsi="Cambria" w:eastAsia="Cambria" w:cs="Cambria"/>
      <w:sz w:val="22"/>
      <w:szCs w:val="22"/>
      <w:lang w:eastAsia="en-US"/>
    </w:rPr>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页眉 字符"/>
    <w:basedOn w:val="132"/>
    <w:link w:val="25"/>
    <w:uiPriority w:val="99"/>
  </w:style>
  <w:style w:type="character" w:customStyle="1" w:styleId="136">
    <w:name w:val="页脚 字符"/>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标题 1 字符"/>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标题 2 字符"/>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标题 3 字符"/>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标题 字符"/>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副标题 字符"/>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正文文本 字符"/>
    <w:basedOn w:val="132"/>
    <w:link w:val="19"/>
    <w:uiPriority w:val="99"/>
  </w:style>
  <w:style w:type="character" w:customStyle="1" w:styleId="145">
    <w:name w:val="正文文本 2 字符"/>
    <w:basedOn w:val="132"/>
    <w:link w:val="28"/>
    <w:uiPriority w:val="99"/>
  </w:style>
  <w:style w:type="character" w:customStyle="1" w:styleId="146">
    <w:name w:val="正文文本 3 字符"/>
    <w:basedOn w:val="132"/>
    <w:link w:val="17"/>
    <w:qFormat/>
    <w:uiPriority w:val="99"/>
    <w:rPr>
      <w:sz w:val="16"/>
      <w:szCs w:val="16"/>
    </w:rPr>
  </w:style>
  <w:style w:type="character" w:customStyle="1" w:styleId="147">
    <w:name w:val="宏文本 字符"/>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引用 字符"/>
    <w:basedOn w:val="132"/>
    <w:link w:val="148"/>
    <w:qFormat/>
    <w:uiPriority w:val="29"/>
    <w:rPr>
      <w:i/>
      <w:iCs/>
      <w:color w:val="000000" w:themeColor="text1"/>
      <w14:textFill>
        <w14:solidFill>
          <w14:schemeClr w14:val="tx1"/>
        </w14:solidFill>
      </w14:textFill>
    </w:rPr>
  </w:style>
  <w:style w:type="character" w:customStyle="1" w:styleId="150">
    <w:name w:val="标题 4 字符"/>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标题 5 字符"/>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标题 6 字符"/>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标题 7 字符"/>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标题 8 字符"/>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标题 9 字符"/>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明显引用 字符"/>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4778</Words>
  <Characters>5231</Characters>
  <Lines>40</Lines>
  <Paragraphs>11</Paragraphs>
  <TotalTime>8</TotalTime>
  <ScaleCrop>false</ScaleCrop>
  <LinksUpToDate>false</LinksUpToDate>
  <CharactersWithSpaces>5290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2026-05-18T02:57:00Z</dcterms:created>
  <dc:creator>python-docx</dc:creator>
  <dc:description>generated by python-docx</dc:description>
  <cp:lastModifiedBy>-L.mc</cp:lastModifiedBy>
  <cp:lastPrinted>2026-07-23T01:11:28Z</cp:lastPrinted>
  <dcterms:modified xsi:type="dcterms:W3CDTF">2026-07-23T01:35:45Z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eyJoZGlkIjoiY2QzMGU5Mjk4NThlODdmNTFjZmViNjlmMzBlOGU2ZTUiLCJ1c2VySWQiOiIzNTcxNTkxMTcifQ==</vt:lpwstr>
  </property>
  <property fmtid="{D5CDD505-2E9C-101B-9397-08002B2CF9AE}" pid="4" name="ICV">
    <vt:lpwstr>14BDFB19E6334A259635D27B6BBF1726_12</vt:lpwstr>
  </property>
</Properties>
</file>