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4E689">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both"/>
        <w:textAlignment w:val="auto"/>
        <w:rPr>
          <w:rFonts w:hint="eastAsia" w:ascii="方正小标宋简体" w:hAnsi="方正小标宋简体" w:eastAsia="方正小标宋简体" w:cs="方正小标宋简体"/>
          <w:color w:val="000000" w:themeColor="text1"/>
          <w:sz w:val="36"/>
          <w:szCs w:val="36"/>
          <w:lang w:val="en-US" w:eastAsia="zh-CN"/>
        </w:rPr>
      </w:pPr>
      <w:r>
        <w:rPr>
          <w:rFonts w:hint="eastAsia" w:ascii="黑体" w:hAnsi="黑体" w:eastAsia="黑体"/>
          <w:color w:val="000000" w:themeColor="text1"/>
          <w:sz w:val="32"/>
          <w:szCs w:val="32"/>
        </w:rPr>
        <w:t>附件1</w:t>
      </w:r>
    </w:p>
    <w:p w14:paraId="2FEEB474">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南宁市武鸣区中医医院</w:t>
      </w:r>
    </w:p>
    <w:p w14:paraId="5F8F8945">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双腔临时心脏起搏器采购项目货物参数需求</w:t>
      </w:r>
    </w:p>
    <w:p w14:paraId="738EA2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方正小标宋简体" w:hAnsi="方正小标宋简体" w:eastAsia="方正小标宋简体" w:cs="方正小标宋简体"/>
          <w:sz w:val="36"/>
          <w:szCs w:val="36"/>
          <w:lang w:val="en-US" w:eastAsia="zh-CN"/>
        </w:rPr>
      </w:pPr>
    </w:p>
    <w:p w14:paraId="185A7E7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一、采购要求</w:t>
      </w:r>
    </w:p>
    <w:p w14:paraId="1E402EFD">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kern w:val="2"/>
          <w:sz w:val="32"/>
          <w:szCs w:val="32"/>
          <w:lang w:val="en-US" w:eastAsia="zh-CN" w:bidi="ar-SA"/>
        </w:rPr>
      </w:pPr>
      <w:r>
        <w:rPr>
          <w:rFonts w:hint="eastAsia" w:ascii="仿宋_GB2312" w:eastAsia="仿宋_GB2312" w:cs="宋体"/>
          <w:kern w:val="2"/>
          <w:sz w:val="32"/>
          <w:szCs w:val="32"/>
          <w:lang w:val="en-US" w:eastAsia="zh-CN" w:bidi="ar-SA"/>
        </w:rPr>
        <w:t>1.</w:t>
      </w:r>
      <w:r>
        <w:rPr>
          <w:rFonts w:hint="eastAsia" w:ascii="仿宋_GB2312" w:eastAsia="仿宋_GB2312" w:cs="宋体" w:hAnsiTheme="minorHAnsi"/>
          <w:kern w:val="2"/>
          <w:sz w:val="32"/>
          <w:szCs w:val="32"/>
          <w:lang w:val="en-US" w:eastAsia="zh-CN" w:bidi="ar-SA"/>
        </w:rPr>
        <w:t>标三角形▲为必须响应的参数，负偏离或者已经指明不满足该报价作无效处理</w:t>
      </w:r>
      <w:r>
        <w:rPr>
          <w:rFonts w:hint="eastAsia" w:ascii="仿宋_GB2312" w:eastAsia="仿宋_GB2312" w:cs="宋体"/>
          <w:kern w:val="2"/>
          <w:sz w:val="32"/>
          <w:szCs w:val="32"/>
          <w:lang w:val="en-US" w:eastAsia="zh-CN" w:bidi="ar-SA"/>
        </w:rPr>
        <w:t>。</w:t>
      </w:r>
    </w:p>
    <w:p w14:paraId="54E83EC3">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hAnsiTheme="minorHAnsi"/>
          <w:kern w:val="2"/>
          <w:sz w:val="32"/>
          <w:szCs w:val="32"/>
          <w:lang w:val="en-US" w:eastAsia="zh-CN" w:bidi="ar-SA"/>
        </w:rPr>
      </w:pPr>
      <w:r>
        <w:rPr>
          <w:rFonts w:hint="eastAsia" w:ascii="仿宋_GB2312" w:eastAsia="仿宋_GB2312" w:cs="宋体"/>
          <w:kern w:val="2"/>
          <w:sz w:val="32"/>
          <w:szCs w:val="32"/>
          <w:lang w:val="en-US" w:eastAsia="zh-CN" w:bidi="ar-SA"/>
        </w:rPr>
        <w:t>2.</w:t>
      </w:r>
      <w:r>
        <w:rPr>
          <w:rFonts w:hint="eastAsia" w:ascii="仿宋_GB2312" w:eastAsia="仿宋_GB2312" w:cs="宋体" w:hAnsiTheme="minorHAnsi"/>
          <w:kern w:val="2"/>
          <w:sz w:val="32"/>
          <w:szCs w:val="32"/>
          <w:lang w:val="en-US" w:eastAsia="zh-CN" w:bidi="ar-SA"/>
        </w:rPr>
        <w:t>按国家有关产品“三包”规定执行“三包”，质保期除特别注明外，最短不得少于3年。质保期内负责上门服务、维修、更换配件，不得收取任何费用。自提交货物并验收合格之日起计，若厂家免费质保期超过一年的，按厂家规定保修；</w:t>
      </w:r>
      <w:r>
        <w:rPr>
          <w:rFonts w:hint="eastAsia" w:ascii="仿宋_GB2312" w:eastAsia="仿宋_GB2312" w:cs="宋体"/>
          <w:kern w:val="2"/>
          <w:sz w:val="32"/>
          <w:szCs w:val="32"/>
          <w:lang w:val="en-US" w:eastAsia="zh-CN" w:bidi="ar-SA"/>
        </w:rPr>
        <w:t>同时</w:t>
      </w:r>
      <w:r>
        <w:rPr>
          <w:rFonts w:hint="eastAsia" w:ascii="仿宋_GB2312" w:eastAsia="仿宋_GB2312" w:cs="宋体" w:hAnsiTheme="minorHAnsi"/>
          <w:kern w:val="2"/>
          <w:sz w:val="32"/>
          <w:szCs w:val="32"/>
          <w:lang w:val="en-US" w:eastAsia="zh-CN" w:bidi="ar-SA"/>
        </w:rPr>
        <w:t>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7C4C472F">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3" w:firstLineChars="200"/>
        <w:textAlignment w:val="auto"/>
        <w:rPr>
          <w:rFonts w:hint="default" w:ascii="仿宋_GB2312" w:eastAsia="仿宋_GB2312" w:cs="宋体" w:hAnsiTheme="minorHAnsi"/>
          <w:b/>
          <w:bCs/>
          <w:kern w:val="2"/>
          <w:sz w:val="32"/>
          <w:szCs w:val="32"/>
          <w:lang w:val="en-US" w:eastAsia="zh-CN" w:bidi="ar-SA"/>
        </w:rPr>
      </w:pPr>
      <w:r>
        <w:rPr>
          <w:rFonts w:hint="eastAsia" w:ascii="仿宋_GB2312" w:eastAsia="仿宋_GB2312" w:cs="宋体"/>
          <w:b/>
          <w:bCs/>
          <w:kern w:val="2"/>
          <w:sz w:val="32"/>
          <w:szCs w:val="32"/>
          <w:lang w:val="en-US" w:eastAsia="zh-CN" w:bidi="ar-SA"/>
        </w:rPr>
        <w:t>3.该设备涉及医用耗材使用，请备注是否为专机使用耗材，同时对耗材进行单独报价，并提供相关资质证件及授权。未提供该设备耗材报价视为无效响应。</w:t>
      </w:r>
    </w:p>
    <w:p w14:paraId="54C668EF">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二、采购参数</w:t>
      </w:r>
    </w:p>
    <w:p w14:paraId="55D6F9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bookmarkStart w:id="0" w:name="_Toc1868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技术参数要求</w:t>
      </w:r>
    </w:p>
    <w:p w14:paraId="75D28CB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1.单腔起搏模式：AAI，AOO，VVI 和 VOO</w:t>
      </w:r>
    </w:p>
    <w:p w14:paraId="7F5978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2.双腔起搏模式：DDD，DDI，DOO</w:t>
      </w:r>
    </w:p>
    <w:p w14:paraId="2646CA2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3.无起搏疗法：OOO</w:t>
      </w:r>
    </w:p>
    <w:p w14:paraId="695A25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4.其他起搏模式;快速心房起搏（RAP）和紧急起搏</w:t>
      </w:r>
    </w:p>
    <w:p w14:paraId="130D743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5.起搏频率：30-200ppm</w:t>
      </w:r>
    </w:p>
    <w:p w14:paraId="099A09F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6.高频起搏：80-800ppm</w:t>
      </w:r>
    </w:p>
    <w:p w14:paraId="304C687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7.输出波形;恒定电流-方波</w:t>
      </w:r>
    </w:p>
    <w:p w14:paraId="071634D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8.输出幅度心房：0.1-20mA;心室：0.1-25mA</w:t>
      </w:r>
    </w:p>
    <w:p w14:paraId="67BDBF6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9.脉宽心房：1.0ms;心室：1.5ms10.AV</w:t>
      </w:r>
    </w:p>
    <w:p w14:paraId="15A7B4A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10.延迟：20-300ms</w:t>
      </w:r>
    </w:p>
    <w:p w14:paraId="38CF4EF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11.灵敏度心房：0.4-10mV, ASYNC；心室：0.8-20mV, ASYNC</w:t>
      </w:r>
    </w:p>
    <w:p w14:paraId="2B2140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12.不应期心房：150-500ms</w:t>
      </w:r>
    </w:p>
    <w:p w14:paraId="4B5FCC1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13.电池：2-AA 电池（1.5V）</w:t>
      </w:r>
    </w:p>
    <w:p w14:paraId="28FA288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14.电池寿命：在频率为 70 次/分钟并且所有其它参数为正常值时，</w:t>
      </w:r>
      <w:bookmarkStart w:id="1" w:name="OLE_LINK1"/>
      <w:bookmarkStart w:id="2" w:name="OLE_LINK2"/>
      <w:r>
        <w:rPr>
          <w:rFonts w:hint="eastAsia" w:ascii="仿宋_GB2312" w:hAnsi="仿宋_GB2312" w:eastAsia="仿宋_GB2312" w:cs="仿宋_GB2312"/>
          <w:sz w:val="32"/>
          <w:szCs w:val="32"/>
        </w:rPr>
        <w:t>≥</w:t>
      </w:r>
      <w:bookmarkEnd w:id="1"/>
      <w:bookmarkEnd w:id="2"/>
      <w:r>
        <w:rPr>
          <w:rFonts w:hint="eastAsia" w:ascii="仿宋_GB2312" w:hAnsi="仿宋_GB2312" w:eastAsia="仿宋_GB2312" w:cs="仿宋_GB2312"/>
          <w:sz w:val="32"/>
          <w:szCs w:val="32"/>
        </w:rPr>
        <w:t>7 天</w:t>
      </w:r>
    </w:p>
    <w:p w14:paraId="7ED92D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15.屏幕显示;上下两个屏幕显示</w:t>
      </w:r>
    </w:p>
    <w:p w14:paraId="29704FB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16.显示参数;心率、心房输出、心室输出、模式、电池状态</w:t>
      </w:r>
    </w:p>
    <w:p w14:paraId="16610A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17.指示灯;心房和心室起搏感知指示灯</w:t>
      </w:r>
    </w:p>
    <w:p w14:paraId="4918796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18.自检功能;开机自检</w:t>
      </w:r>
    </w:p>
    <w:p w14:paraId="2699994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19.暂停键;暂停起搏和感知20.DOO/紧急键;按最大的心房和心室输出启动紧急双腔（DOO）起搏</w:t>
      </w:r>
    </w:p>
    <w:p w14:paraId="3BDC520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21.安全性;电除颤保护、静电保护</w:t>
      </w:r>
    </w:p>
    <w:p w14:paraId="7C425BD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22.其他要求;起搏感知状态栏、锁屏、起搏暂停模式</w:t>
      </w:r>
    </w:p>
    <w:p w14:paraId="3DB290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电池取出后持续工作： 30s、心房追踪自动调整 PVARP 和 AV 间期、上限频率、LED 背景灯、自动 PVARP、时间违规/警告、自动调整、安全模式</w:t>
      </w:r>
    </w:p>
    <w:p w14:paraId="65F3D82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23.设备使用年限≥6年，设备在全国装机量较大，有完善的售后服务体系，</w:t>
      </w:r>
    </w:p>
    <w:p w14:paraId="6A74F0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▲二、配置要求</w:t>
      </w:r>
    </w:p>
    <w:p w14:paraId="5C5DB9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1.双腔临时起搏器主机 1 台</w:t>
      </w:r>
    </w:p>
    <w:p w14:paraId="49A7AEB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2.两节 LR6 规格（AA 规格）碱性电池</w:t>
      </w:r>
    </w:p>
    <w:p w14:paraId="3597160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宋体"/>
          <w:color w:val="000000" w:themeColor="text1"/>
          <w:sz w:val="32"/>
          <w:szCs w:val="32"/>
        </w:rPr>
      </w:pPr>
      <w:r>
        <w:rPr>
          <w:rFonts w:hint="eastAsia" w:ascii="仿宋_GB2312" w:hAnsi="仿宋_GB2312" w:eastAsia="仿宋_GB2312" w:cs="仿宋_GB2312"/>
          <w:sz w:val="32"/>
          <w:szCs w:val="32"/>
        </w:rPr>
        <w:t>3.电极线两根4 患者电缆两根</w:t>
      </w:r>
    </w:p>
    <w:bookmarkEnd w:id="0"/>
    <w:p w14:paraId="4B691CAF">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bookmarkStart w:id="3" w:name="_GoBack"/>
      <w:bookmarkEnd w:id="3"/>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6AD076-D3C4-4CC3-BDE6-09AD60EAB7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FFE1DA8-8B40-49B0-95AB-374D565EA193}"/>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2AA3309E-041A-4A78-9BE1-18DE73CFFD88}"/>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4C04B134-8368-439A-8C26-228031D9111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135A57"/>
    <w:rsid w:val="149E3C13"/>
    <w:rsid w:val="1E5B42CC"/>
    <w:rsid w:val="31AE73CB"/>
    <w:rsid w:val="33B156F5"/>
    <w:rsid w:val="34552A3E"/>
    <w:rsid w:val="351A243F"/>
    <w:rsid w:val="3CA4110B"/>
    <w:rsid w:val="40396D87"/>
    <w:rsid w:val="42862585"/>
    <w:rsid w:val="46524C1E"/>
    <w:rsid w:val="4A904E4D"/>
    <w:rsid w:val="4F2A3682"/>
    <w:rsid w:val="50D20D70"/>
    <w:rsid w:val="5C5D675C"/>
    <w:rsid w:val="5FC56FB5"/>
    <w:rsid w:val="60A54328"/>
    <w:rsid w:val="610F4E1E"/>
    <w:rsid w:val="61A97973"/>
    <w:rsid w:val="61E3588B"/>
    <w:rsid w:val="71BC0D00"/>
    <w:rsid w:val="7929119F"/>
    <w:rsid w:val="7AC94869"/>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1"/>
    <w:pPr>
      <w:autoSpaceDE w:val="0"/>
      <w:autoSpaceDN w:val="0"/>
      <w:ind w:left="112"/>
      <w:jc w:val="left"/>
      <w:outlineLvl w:val="0"/>
    </w:pPr>
    <w:rPr>
      <w:rFonts w:cs="宋体"/>
      <w:b/>
      <w:bCs/>
      <w:kern w:val="0"/>
      <w:sz w:val="24"/>
      <w:szCs w:val="2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style>
  <w:style w:type="paragraph" w:styleId="5">
    <w:name w:val="Body Text 3"/>
    <w:basedOn w:val="1"/>
    <w:qFormat/>
    <w:uiPriority w:val="99"/>
    <w:pPr>
      <w:spacing w:after="120"/>
    </w:pPr>
    <w:rPr>
      <w:rFonts w:ascii="Times New Roman" w:hAnsi="Times New Roman" w:cs="Times New Roman"/>
      <w:sz w:val="16"/>
      <w:szCs w:val="16"/>
    </w:rPr>
  </w:style>
  <w:style w:type="paragraph" w:styleId="6">
    <w:name w:val="Body Text"/>
    <w:basedOn w:val="1"/>
    <w:next w:val="7"/>
    <w:qFormat/>
    <w:uiPriority w:val="1"/>
    <w:pPr>
      <w:autoSpaceDE w:val="0"/>
      <w:autoSpaceDN w:val="0"/>
      <w:ind w:left="112"/>
      <w:jc w:val="left"/>
    </w:pPr>
    <w:rPr>
      <w:rFonts w:cs="宋体"/>
      <w:kern w:val="0"/>
      <w:sz w:val="24"/>
      <w:szCs w:val="24"/>
      <w:lang w:val="zh-CN" w:bidi="zh-CN"/>
    </w:rPr>
  </w:style>
  <w:style w:type="paragraph" w:styleId="7">
    <w:name w:val="Plain Text"/>
    <w:basedOn w:val="1"/>
    <w:next w:val="1"/>
    <w:qFormat/>
    <w:uiPriority w:val="99"/>
    <w:rPr>
      <w:rFonts w:hAnsi="Courier New" w:cs="Times New Roman"/>
      <w:sz w:val="21"/>
      <w:szCs w:val="20"/>
    </w:rPr>
  </w:style>
  <w:style w:type="paragraph" w:styleId="8">
    <w:name w:val="Body Text Indent"/>
    <w:basedOn w:val="1"/>
    <w:qFormat/>
    <w:uiPriority w:val="0"/>
    <w:pPr>
      <w:ind w:firstLine="830" w:firstLineChars="352"/>
    </w:pPr>
    <w:rPr>
      <w:rFonts w:ascii="仿宋_GB2312" w:hAnsi="Times New Roman" w:eastAsia="仿宋_GB2312"/>
      <w:kern w:val="0"/>
      <w:sz w:val="32"/>
      <w:szCs w:val="20"/>
    </w:rPr>
  </w:style>
  <w:style w:type="paragraph" w:styleId="9">
    <w:name w:val="List 2"/>
    <w:basedOn w:val="1"/>
    <w:unhideWhenUsed/>
    <w:qFormat/>
    <w:uiPriority w:val="99"/>
    <w:pPr>
      <w:ind w:left="100" w:leftChars="200" w:hanging="200" w:hangingChars="200"/>
      <w:contextualSpacing/>
    </w:pPr>
  </w:style>
  <w:style w:type="paragraph" w:styleId="10">
    <w:name w:val="footer"/>
    <w:basedOn w:val="1"/>
    <w:link w:val="18"/>
    <w:semiHidden/>
    <w:unhideWhenUsed/>
    <w:qFormat/>
    <w:uiPriority w:val="99"/>
    <w:pPr>
      <w:tabs>
        <w:tab w:val="center" w:pos="4153"/>
        <w:tab w:val="right" w:pos="8306"/>
      </w:tabs>
      <w:snapToGrid w:val="0"/>
      <w:jc w:val="left"/>
    </w:pPr>
    <w:rPr>
      <w:sz w:val="18"/>
      <w:szCs w:val="18"/>
    </w:rPr>
  </w:style>
  <w:style w:type="paragraph" w:styleId="11">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6">
    <w:name w:val="Strong"/>
    <w:basedOn w:val="15"/>
    <w:qFormat/>
    <w:uiPriority w:val="22"/>
    <w:rPr>
      <w:b/>
    </w:rPr>
  </w:style>
  <w:style w:type="character" w:customStyle="1" w:styleId="17">
    <w:name w:val="页眉 Char"/>
    <w:basedOn w:val="15"/>
    <w:link w:val="11"/>
    <w:semiHidden/>
    <w:qFormat/>
    <w:uiPriority w:val="99"/>
    <w:rPr>
      <w:sz w:val="18"/>
      <w:szCs w:val="18"/>
    </w:rPr>
  </w:style>
  <w:style w:type="character" w:customStyle="1" w:styleId="18">
    <w:name w:val="页脚 Char"/>
    <w:basedOn w:val="15"/>
    <w:link w:val="10"/>
    <w:semiHidden/>
    <w:qFormat/>
    <w:uiPriority w:val="99"/>
    <w:rPr>
      <w:sz w:val="18"/>
      <w:szCs w:val="18"/>
    </w:rPr>
  </w:style>
  <w:style w:type="character" w:customStyle="1" w:styleId="19">
    <w:name w:val="标题 1 Char"/>
    <w:basedOn w:val="15"/>
    <w:link w:val="2"/>
    <w:qFormat/>
    <w:uiPriority w:val="1"/>
    <w:rPr>
      <w:rFonts w:cs="宋体"/>
      <w:b/>
      <w:bCs/>
      <w:kern w:val="0"/>
      <w:sz w:val="24"/>
      <w:szCs w:val="24"/>
      <w:lang w:val="zh-CN" w:bidi="zh-CN"/>
    </w:rPr>
  </w:style>
  <w:style w:type="paragraph" w:customStyle="1" w:styleId="20">
    <w:name w:val="表格文字"/>
    <w:basedOn w:val="1"/>
    <w:qFormat/>
    <w:uiPriority w:val="0"/>
    <w:pPr>
      <w:spacing w:line="0" w:lineRule="atLeast"/>
      <w:jc w:val="center"/>
    </w:pPr>
    <w:rPr>
      <w:rFonts w:ascii="Times New Roman" w:hAnsi="Times New Roman" w:cs="Times New Roman"/>
      <w:sz w:val="28"/>
      <w:szCs w:val="24"/>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5"/>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26">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613</Words>
  <Characters>700</Characters>
  <Lines>6</Lines>
  <Paragraphs>1</Paragraphs>
  <TotalTime>2</TotalTime>
  <ScaleCrop>false</ScaleCrop>
  <LinksUpToDate>false</LinksUpToDate>
  <CharactersWithSpaces>708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2026-07-14T10:36:00Z</cp:lastPrinted>
  <dcterms:modified xsi:type="dcterms:W3CDTF">2026-08-06T12:04:32Z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2052-12.1.0.28043</vt:lpwstr>
  </property>
  <property fmtid="{D5CDD505-2E9C-101B-9397-08002B2CF9AE}" pid="4" name="ICV">
    <vt:lpwstr>2BF75CDE903C41F5AC20F4B6FC02793C_12</vt:lpwstr>
  </property>
</Properties>
</file>