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74E689">
      <w:pPr>
        <w:pStyle w:val="13"/>
        <w:keepNext w:val="0"/>
        <w:keepLines w:val="0"/>
        <w:pageBreakBefore w:val="0"/>
        <w:widowControl w:val="0"/>
        <w:kinsoku/>
        <w:wordWrap/>
        <w:overflowPunct/>
        <w:topLinePunct w:val="0"/>
        <w:autoSpaceDE/>
        <w:autoSpaceDN/>
        <w:bidi w:val="0"/>
        <w:adjustRightInd w:val="0"/>
        <w:snapToGrid w:val="0"/>
        <w:spacing w:after="0" w:line="560" w:lineRule="exact"/>
        <w:ind w:left="0" w:leftChars="0" w:right="0" w:firstLine="0" w:firstLineChars="0"/>
        <w:jc w:val="both"/>
        <w:textAlignment w:val="auto"/>
        <w:rPr>
          <w:rFonts w:hint="eastAsia" w:ascii="方正小标宋简体" w:hAnsi="方正小标宋简体" w:eastAsia="方正小标宋简体" w:cs="方正小标宋简体"/>
          <w:color w:val="000000" w:themeColor="text1"/>
          <w:sz w:val="36"/>
          <w:szCs w:val="36"/>
          <w:lang w:val="en-US" w:eastAsia="zh-CN"/>
        </w:rPr>
      </w:pPr>
      <w:r>
        <w:rPr>
          <w:rFonts w:hint="eastAsia" w:ascii="黑体" w:hAnsi="黑体" w:eastAsia="黑体"/>
          <w:color w:val="000000" w:themeColor="text1"/>
          <w:sz w:val="32"/>
          <w:szCs w:val="32"/>
        </w:rPr>
        <w:t>附件1</w:t>
      </w:r>
    </w:p>
    <w:p w14:paraId="2FEEB474">
      <w:pPr>
        <w:pStyle w:val="13"/>
        <w:keepNext w:val="0"/>
        <w:keepLines w:val="0"/>
        <w:pageBreakBefore w:val="0"/>
        <w:widowControl w:val="0"/>
        <w:kinsoku/>
        <w:wordWrap/>
        <w:overflowPunct/>
        <w:topLinePunct w:val="0"/>
        <w:autoSpaceDE/>
        <w:autoSpaceDN/>
        <w:bidi w:val="0"/>
        <w:adjustRightInd w:val="0"/>
        <w:snapToGrid w:val="0"/>
        <w:spacing w:after="0" w:line="560" w:lineRule="exact"/>
        <w:ind w:left="0" w:leftChars="0" w:right="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南宁市武鸣区中医医院</w:t>
      </w:r>
    </w:p>
    <w:p w14:paraId="5F8F8945">
      <w:pPr>
        <w:pStyle w:val="13"/>
        <w:keepNext w:val="0"/>
        <w:keepLines w:val="0"/>
        <w:pageBreakBefore w:val="0"/>
        <w:widowControl w:val="0"/>
        <w:kinsoku/>
        <w:wordWrap/>
        <w:overflowPunct/>
        <w:topLinePunct w:val="0"/>
        <w:autoSpaceDE/>
        <w:autoSpaceDN/>
        <w:bidi w:val="0"/>
        <w:adjustRightInd w:val="0"/>
        <w:snapToGrid w:val="0"/>
        <w:spacing w:after="0" w:line="560" w:lineRule="exact"/>
        <w:ind w:left="0" w:leftChars="0" w:right="0" w:firstLine="0" w:firstLineChars="0"/>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医用控温仪采购项目货物参数需求</w:t>
      </w:r>
    </w:p>
    <w:p w14:paraId="738EA28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方正小标宋简体" w:hAnsi="方正小标宋简体" w:eastAsia="方正小标宋简体" w:cs="方正小标宋简体"/>
          <w:sz w:val="36"/>
          <w:szCs w:val="36"/>
          <w:lang w:val="en-US" w:eastAsia="zh-CN"/>
        </w:rPr>
      </w:pPr>
    </w:p>
    <w:p w14:paraId="185A7E7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一、采购要求</w:t>
      </w:r>
    </w:p>
    <w:p w14:paraId="1E402EFD">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宋体"/>
          <w:kern w:val="2"/>
          <w:sz w:val="32"/>
          <w:szCs w:val="32"/>
          <w:lang w:val="en-US" w:eastAsia="zh-CN" w:bidi="ar-SA"/>
        </w:rPr>
      </w:pPr>
      <w:r>
        <w:rPr>
          <w:rFonts w:hint="eastAsia" w:ascii="仿宋_GB2312" w:eastAsia="仿宋_GB2312" w:cs="宋体"/>
          <w:kern w:val="2"/>
          <w:sz w:val="32"/>
          <w:szCs w:val="32"/>
          <w:lang w:val="en-US" w:eastAsia="zh-CN" w:bidi="ar-SA"/>
        </w:rPr>
        <w:t>1.</w:t>
      </w:r>
      <w:r>
        <w:rPr>
          <w:rFonts w:hint="eastAsia" w:ascii="仿宋_GB2312" w:eastAsia="仿宋_GB2312" w:cs="宋体" w:hAnsiTheme="minorHAnsi"/>
          <w:kern w:val="2"/>
          <w:sz w:val="32"/>
          <w:szCs w:val="32"/>
          <w:lang w:val="en-US" w:eastAsia="zh-CN" w:bidi="ar-SA"/>
        </w:rPr>
        <w:t>标三角形▲为必须响应的参数，负偏离或者已经指明不满足</w:t>
      </w:r>
      <w:r>
        <w:rPr>
          <w:rFonts w:hint="eastAsia" w:ascii="仿宋_GB2312" w:eastAsia="仿宋_GB2312" w:cs="宋体"/>
          <w:kern w:val="2"/>
          <w:sz w:val="32"/>
          <w:szCs w:val="32"/>
          <w:lang w:val="en-US" w:eastAsia="zh-CN" w:bidi="ar-SA"/>
        </w:rPr>
        <w:t>将列入考量前提。</w:t>
      </w:r>
    </w:p>
    <w:p w14:paraId="54E83EC3">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宋体" w:hAnsiTheme="minorHAnsi"/>
          <w:kern w:val="2"/>
          <w:sz w:val="32"/>
          <w:szCs w:val="32"/>
          <w:lang w:val="en-US" w:eastAsia="zh-CN" w:bidi="ar-SA"/>
        </w:rPr>
      </w:pPr>
      <w:r>
        <w:rPr>
          <w:rFonts w:hint="eastAsia" w:ascii="仿宋_GB2312" w:eastAsia="仿宋_GB2312" w:cs="宋体"/>
          <w:kern w:val="2"/>
          <w:sz w:val="32"/>
          <w:szCs w:val="32"/>
          <w:lang w:val="en-US" w:eastAsia="zh-CN" w:bidi="ar-SA"/>
        </w:rPr>
        <w:t>2.</w:t>
      </w:r>
      <w:r>
        <w:rPr>
          <w:rFonts w:hint="eastAsia" w:ascii="仿宋_GB2312" w:eastAsia="仿宋_GB2312" w:cs="宋体" w:hAnsiTheme="minorHAnsi"/>
          <w:kern w:val="2"/>
          <w:sz w:val="32"/>
          <w:szCs w:val="32"/>
          <w:lang w:val="en-US" w:eastAsia="zh-CN" w:bidi="ar-SA"/>
        </w:rPr>
        <w:t>按国家有关产品“三包”规定执行“三包”，质保期除特别注明外，最短不得少于3年。质保期内负责上门服务、维修、更换配件，不得收取任何费用。自提交货物并验收合格之日起计，若厂家免费质保期超过一年的，按厂家规定保修；</w:t>
      </w:r>
      <w:r>
        <w:rPr>
          <w:rFonts w:hint="eastAsia" w:ascii="仿宋_GB2312" w:eastAsia="仿宋_GB2312" w:cs="宋体"/>
          <w:kern w:val="2"/>
          <w:sz w:val="32"/>
          <w:szCs w:val="32"/>
          <w:lang w:val="en-US" w:eastAsia="zh-CN" w:bidi="ar-SA"/>
        </w:rPr>
        <w:t>同时</w:t>
      </w:r>
      <w:r>
        <w:rPr>
          <w:rFonts w:hint="eastAsia" w:ascii="仿宋_GB2312" w:eastAsia="仿宋_GB2312" w:cs="宋体" w:hAnsiTheme="minorHAnsi"/>
          <w:kern w:val="2"/>
          <w:sz w:val="32"/>
          <w:szCs w:val="32"/>
          <w:lang w:val="en-US" w:eastAsia="zh-CN" w:bidi="ar-SA"/>
        </w:rPr>
        <w:t>每年至少定期回访1次，以及对设备维修服务，质保期后提供终身维修服务，其余按投标人提交的售后服务承诺书执行；所有非故意性损坏以及在要求质量标准范围内的正常使用造成的损坏均要免费维修。对因采购方人员的不正当使用所造成的损坏不归中标人负责保修，但中标人也要积极帮助采购人修理，并保证提供优惠价格的配件和服务。</w:t>
      </w:r>
    </w:p>
    <w:p w14:paraId="54C668EF">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二、采购参数</w:t>
      </w:r>
    </w:p>
    <w:p w14:paraId="55D6F9A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bookmarkStart w:id="0" w:name="_Toc18681"/>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技术参数要求</w:t>
      </w:r>
    </w:p>
    <w:p w14:paraId="5D7E307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rPr>
      </w:pPr>
      <w:r>
        <w:rPr>
          <w:rFonts w:hint="default"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电源: 220 V±22 V、50 Hz±1 Hz  </w:t>
      </w:r>
      <w:r>
        <w:rPr>
          <w:rFonts w:hint="eastAsia" w:ascii="仿宋_GB2312" w:hAnsi="仿宋_GB2312" w:eastAsia="仿宋_GB2312" w:cs="仿宋_GB2312"/>
          <w:sz w:val="32"/>
          <w:szCs w:val="32"/>
          <w:lang w:eastAsia="zh-CN"/>
        </w:rPr>
        <w:t>；</w:t>
      </w:r>
    </w:p>
    <w:p w14:paraId="58D4069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rPr>
      </w:pPr>
      <w:r>
        <w:rPr>
          <w:rFonts w:hint="default"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 xml:space="preserve">输入功率：＜500W </w:t>
      </w:r>
      <w:r>
        <w:rPr>
          <w:rFonts w:hint="eastAsia" w:ascii="仿宋_GB2312" w:hAnsi="仿宋_GB2312" w:eastAsia="仿宋_GB2312" w:cs="仿宋_GB2312"/>
          <w:sz w:val="32"/>
          <w:szCs w:val="32"/>
          <w:lang w:eastAsia="zh-CN"/>
        </w:rPr>
        <w:t>；</w:t>
      </w:r>
    </w:p>
    <w:p w14:paraId="4BEECFE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.配有全塑快旋密封装置的直接加水方式，加水方便，确保转运中无水溢出；</w:t>
      </w:r>
    </w:p>
    <w:p w14:paraId="0701507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制冷方式：采用</w:t>
      </w:r>
      <w:r>
        <w:rPr>
          <w:rFonts w:hint="eastAsia" w:ascii="仿宋_GB2312" w:hAnsi="仿宋_GB2312" w:eastAsia="仿宋_GB2312" w:cs="仿宋_GB2312"/>
          <w:sz w:val="32"/>
          <w:szCs w:val="32"/>
          <w:lang w:val="en-US"/>
        </w:rPr>
        <w:t>直流变频微型</w:t>
      </w:r>
      <w:r>
        <w:rPr>
          <w:rFonts w:hint="eastAsia" w:ascii="仿宋_GB2312" w:hAnsi="仿宋_GB2312" w:eastAsia="仿宋_GB2312" w:cs="仿宋_GB2312"/>
          <w:sz w:val="32"/>
          <w:szCs w:val="32"/>
        </w:rPr>
        <w:t>压缩机</w:t>
      </w:r>
      <w:r>
        <w:rPr>
          <w:rFonts w:hint="eastAsia" w:ascii="仿宋_GB2312" w:hAnsi="仿宋_GB2312" w:eastAsia="仿宋_GB2312" w:cs="仿宋_GB2312"/>
          <w:sz w:val="32"/>
          <w:szCs w:val="32"/>
          <w:lang w:val="en-US"/>
        </w:rPr>
        <w:t>控温技术</w:t>
      </w:r>
      <w:r>
        <w:rPr>
          <w:rFonts w:hint="eastAsia" w:ascii="仿宋_GB2312" w:hAnsi="仿宋_GB2312" w:eastAsia="仿宋_GB2312" w:cs="仿宋_GB2312"/>
          <w:sz w:val="32"/>
          <w:szCs w:val="32"/>
          <w:lang w:val="en-US" w:eastAsia="zh-CN"/>
        </w:rPr>
        <w:t>；</w:t>
      </w:r>
    </w:p>
    <w:p w14:paraId="7CD812B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.治疗</w:t>
      </w:r>
      <w:r>
        <w:rPr>
          <w:rFonts w:hint="eastAsia" w:ascii="仿宋_GB2312" w:hAnsi="仿宋_GB2312" w:eastAsia="仿宋_GB2312" w:cs="仿宋_GB2312"/>
          <w:sz w:val="32"/>
          <w:szCs w:val="32"/>
          <w:lang w:eastAsia="zh-Hans"/>
        </w:rPr>
        <w:t>模式：手动</w:t>
      </w:r>
      <w:r>
        <w:rPr>
          <w:rFonts w:hint="eastAsia" w:ascii="仿宋_GB2312" w:hAnsi="仿宋_GB2312" w:eastAsia="仿宋_GB2312" w:cs="仿宋_GB2312"/>
          <w:sz w:val="32"/>
          <w:szCs w:val="32"/>
        </w:rPr>
        <w:t>降温，手动升温</w:t>
      </w:r>
      <w:r>
        <w:rPr>
          <w:rFonts w:hint="eastAsia" w:ascii="仿宋_GB2312" w:hAnsi="仿宋_GB2312" w:eastAsia="仿宋_GB2312" w:cs="仿宋_GB2312"/>
          <w:sz w:val="32"/>
          <w:szCs w:val="32"/>
          <w:lang w:eastAsia="zh-CN"/>
        </w:rPr>
        <w:t>；</w:t>
      </w:r>
    </w:p>
    <w:p w14:paraId="0B70EE5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水路通道：</w:t>
      </w:r>
      <w:r>
        <w:rPr>
          <w:rFonts w:hint="eastAsia" w:ascii="仿宋_GB2312" w:hAnsi="仿宋_GB2312" w:eastAsia="仿宋_GB2312" w:cs="仿宋_GB2312"/>
          <w:sz w:val="32"/>
          <w:szCs w:val="32"/>
          <w:lang w:val="en-US" w:eastAsia="zh-CN"/>
        </w:rPr>
        <w:t>双</w:t>
      </w:r>
      <w:r>
        <w:rPr>
          <w:rFonts w:hint="eastAsia" w:ascii="仿宋_GB2312" w:hAnsi="仿宋_GB2312" w:eastAsia="仿宋_GB2312" w:cs="仿宋_GB2312"/>
          <w:sz w:val="32"/>
          <w:szCs w:val="32"/>
        </w:rPr>
        <w:t>通道</w:t>
      </w:r>
      <w:r>
        <w:rPr>
          <w:rFonts w:hint="eastAsia" w:ascii="仿宋_GB2312" w:hAnsi="仿宋_GB2312" w:eastAsia="仿宋_GB2312" w:cs="仿宋_GB2312"/>
          <w:sz w:val="32"/>
          <w:szCs w:val="32"/>
          <w:lang w:eastAsia="zh-CN"/>
        </w:rPr>
        <w:t>；</w:t>
      </w:r>
    </w:p>
    <w:p w14:paraId="2F95801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目标水温设定范围：制冷设定范围：5.0℃～25.0℃；制热设定范围：32.0℃～39.0℃，步进0.1℃</w:t>
      </w:r>
      <w:r>
        <w:rPr>
          <w:rFonts w:hint="eastAsia" w:ascii="仿宋_GB2312" w:hAnsi="仿宋_GB2312" w:eastAsia="仿宋_GB2312" w:cs="仿宋_GB2312"/>
          <w:sz w:val="32"/>
          <w:szCs w:val="32"/>
          <w:lang w:eastAsia="zh-CN"/>
        </w:rPr>
        <w:t>；</w:t>
      </w:r>
    </w:p>
    <w:p w14:paraId="6A3A819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目标体温设定范围：降温设定范围32.0℃～38.5℃，步进0.1℃；升温设定范围30.0℃～37.0℃，步进0.1℃</w:t>
      </w:r>
      <w:r>
        <w:rPr>
          <w:rFonts w:hint="eastAsia" w:ascii="仿宋_GB2312" w:hAnsi="仿宋_GB2312" w:eastAsia="仿宋_GB2312" w:cs="仿宋_GB2312"/>
          <w:sz w:val="32"/>
          <w:szCs w:val="32"/>
          <w:lang w:eastAsia="zh-CN"/>
        </w:rPr>
        <w:t>；</w:t>
      </w:r>
    </w:p>
    <w:p w14:paraId="0CDAF53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体温传感器监测范围：28℃～43℃，允差：±0.2℃</w:t>
      </w:r>
      <w:r>
        <w:rPr>
          <w:rFonts w:hint="eastAsia" w:ascii="仿宋_GB2312" w:hAnsi="仿宋_GB2312" w:eastAsia="仿宋_GB2312" w:cs="仿宋_GB2312"/>
          <w:sz w:val="32"/>
          <w:szCs w:val="32"/>
          <w:lang w:eastAsia="zh-CN"/>
        </w:rPr>
        <w:t>；</w:t>
      </w:r>
    </w:p>
    <w:p w14:paraId="4B93466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报警功能：声光及界面显示报警。包括水温超限报警，体温超限报警，缺水报警，循环液流速低报警，电量低报警，设备故障报警等</w:t>
      </w:r>
      <w:r>
        <w:rPr>
          <w:rFonts w:hint="eastAsia" w:ascii="仿宋_GB2312" w:hAnsi="仿宋_GB2312" w:eastAsia="仿宋_GB2312" w:cs="仿宋_GB2312"/>
          <w:sz w:val="32"/>
          <w:szCs w:val="32"/>
          <w:lang w:eastAsia="zh-CN"/>
        </w:rPr>
        <w:t>；</w:t>
      </w:r>
    </w:p>
    <w:p w14:paraId="35B1A04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11.核心体温监测方式：膀胱或食道温度；</w:t>
      </w:r>
    </w:p>
    <w:p w14:paraId="38E4CAA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12.主界面具有实时循环流量监测和显示功能；</w:t>
      </w:r>
    </w:p>
    <w:p w14:paraId="6076240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13.主界面具有患者体温变化趋势提示功能；</w:t>
      </w:r>
    </w:p>
    <w:p w14:paraId="068216F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14.设备可实时显示患者体温、目标体温、水温全过程变化曲线；</w:t>
      </w:r>
    </w:p>
    <w:p w14:paraId="5A94A44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eastAsia="zh-Hans"/>
        </w:rPr>
        <w:t>寸彩色液晶触摸屏，操作简便，可显示工作模式，</w:t>
      </w:r>
      <w:r>
        <w:rPr>
          <w:rFonts w:hint="eastAsia" w:ascii="仿宋_GB2312" w:hAnsi="仿宋_GB2312" w:eastAsia="仿宋_GB2312" w:cs="仿宋_GB2312"/>
          <w:sz w:val="32"/>
          <w:szCs w:val="32"/>
        </w:rPr>
        <w:t>温度参数</w:t>
      </w:r>
      <w:r>
        <w:rPr>
          <w:rFonts w:hint="eastAsia" w:ascii="仿宋_GB2312" w:hAnsi="仿宋_GB2312" w:eastAsia="仿宋_GB2312" w:cs="仿宋_GB2312"/>
          <w:sz w:val="32"/>
          <w:szCs w:val="32"/>
          <w:lang w:eastAsia="zh-Hans"/>
        </w:rPr>
        <w:t>等</w:t>
      </w:r>
      <w:r>
        <w:rPr>
          <w:rFonts w:hint="eastAsia" w:ascii="仿宋_GB2312" w:hAnsi="仿宋_GB2312" w:eastAsia="仿宋_GB2312" w:cs="仿宋_GB2312"/>
          <w:sz w:val="32"/>
          <w:szCs w:val="32"/>
          <w:lang w:eastAsia="zh-CN"/>
        </w:rPr>
        <w:t>；</w:t>
      </w:r>
    </w:p>
    <w:p w14:paraId="072F833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数据存储</w:t>
      </w:r>
      <w:r>
        <w:rPr>
          <w:rFonts w:hint="eastAsia" w:ascii="仿宋_GB2312" w:hAnsi="仿宋_GB2312" w:eastAsia="仿宋_GB2312" w:cs="仿宋_GB2312"/>
          <w:sz w:val="32"/>
          <w:szCs w:val="32"/>
          <w:lang w:val="en-US" w:eastAsia="zh-CN"/>
        </w:rPr>
        <w:t>和导出</w:t>
      </w:r>
      <w:r>
        <w:rPr>
          <w:rFonts w:hint="eastAsia" w:ascii="仿宋_GB2312" w:hAnsi="仿宋_GB2312" w:eastAsia="仿宋_GB2312" w:cs="仿宋_GB2312"/>
          <w:sz w:val="32"/>
          <w:szCs w:val="32"/>
        </w:rPr>
        <w:t>功能：设备可查阅和保存</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lang w:val="en-US" w:eastAsia="zh-CN"/>
        </w:rPr>
        <w:t>4800小时</w:t>
      </w:r>
      <w:r>
        <w:rPr>
          <w:rFonts w:hint="eastAsia" w:ascii="仿宋_GB2312" w:hAnsi="仿宋_GB2312" w:eastAsia="仿宋_GB2312" w:cs="仿宋_GB2312"/>
          <w:sz w:val="32"/>
          <w:szCs w:val="32"/>
        </w:rPr>
        <w:t>患者治疗数据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也可以导出供临床研究使用；</w:t>
      </w:r>
    </w:p>
    <w:p w14:paraId="7955814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体积小巧，体积</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rPr>
        <w:t>386×250×274mm，重量≤</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kg。可在</w:t>
      </w:r>
      <w:r>
        <w:rPr>
          <w:rFonts w:hint="eastAsia" w:ascii="仿宋_GB2312" w:hAnsi="仿宋_GB2312" w:eastAsia="仿宋_GB2312" w:cs="仿宋_GB2312"/>
          <w:sz w:val="32"/>
          <w:szCs w:val="32"/>
          <w:lang w:val="en-US" w:eastAsia="zh-CN"/>
        </w:rPr>
        <w:t>户</w:t>
      </w:r>
      <w:r>
        <w:rPr>
          <w:rFonts w:hint="eastAsia" w:ascii="仿宋_GB2312" w:hAnsi="仿宋_GB2312" w:eastAsia="仿宋_GB2312" w:cs="仿宋_GB2312"/>
          <w:sz w:val="32"/>
          <w:szCs w:val="32"/>
        </w:rPr>
        <w:t>外、救护车、转运车上使用，具备院前、院间转运功能</w:t>
      </w:r>
      <w:r>
        <w:rPr>
          <w:rFonts w:hint="eastAsia" w:ascii="仿宋_GB2312" w:hAnsi="仿宋_GB2312" w:eastAsia="仿宋_GB2312" w:cs="仿宋_GB2312"/>
          <w:sz w:val="32"/>
          <w:szCs w:val="32"/>
          <w:lang w:eastAsia="zh-CN"/>
        </w:rPr>
        <w:t>；</w:t>
      </w:r>
    </w:p>
    <w:p w14:paraId="65F3D82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设备使用年限≥</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w:t>
      </w:r>
    </w:p>
    <w:p w14:paraId="6A74F0F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▲二、配置要求</w:t>
      </w:r>
    </w:p>
    <w:bookmarkEnd w:id="0"/>
    <w:p w14:paraId="2DDC5590">
      <w:pPr>
        <w:pageBreakBefore w:val="0"/>
        <w:numPr>
          <w:ilvl w:val="0"/>
          <w:numId w:val="0"/>
        </w:numPr>
        <w:kinsoku/>
        <w:wordWrap/>
        <w:overflowPunct/>
        <w:topLinePunct w:val="0"/>
        <w:bidi w:val="0"/>
        <w:snapToGrid w:val="0"/>
        <w:spacing w:before="156" w:after="50" w:line="440" w:lineRule="exact"/>
        <w:ind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主机   1台</w:t>
      </w:r>
    </w:p>
    <w:p w14:paraId="168C27CD">
      <w:pPr>
        <w:pageBreakBefore w:val="0"/>
        <w:numPr>
          <w:ilvl w:val="0"/>
          <w:numId w:val="0"/>
        </w:numPr>
        <w:kinsoku/>
        <w:wordWrap/>
        <w:overflowPunct/>
        <w:topLinePunct w:val="0"/>
        <w:bidi w:val="0"/>
        <w:snapToGrid w:val="0"/>
        <w:spacing w:before="156" w:after="50" w:line="440" w:lineRule="exact"/>
        <w:ind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温度传感器  1条</w:t>
      </w:r>
    </w:p>
    <w:p w14:paraId="25444826">
      <w:pPr>
        <w:pageBreakBefore w:val="0"/>
        <w:numPr>
          <w:ilvl w:val="0"/>
          <w:numId w:val="0"/>
        </w:numPr>
        <w:kinsoku/>
        <w:wordWrap/>
        <w:overflowPunct/>
        <w:topLinePunct w:val="0"/>
        <w:bidi w:val="0"/>
        <w:snapToGrid w:val="0"/>
        <w:spacing w:before="156" w:after="50" w:line="440" w:lineRule="exact"/>
        <w:ind w:firstLine="640" w:firstLineChars="200"/>
        <w:jc w:val="lef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连接管  2组</w:t>
      </w:r>
    </w:p>
    <w:p w14:paraId="4B691CAF">
      <w:pPr>
        <w:pageBreakBefore w:val="0"/>
        <w:numPr>
          <w:ilvl w:val="0"/>
          <w:numId w:val="0"/>
        </w:numPr>
        <w:kinsoku/>
        <w:wordWrap/>
        <w:overflowPunct/>
        <w:topLinePunct w:val="0"/>
        <w:bidi w:val="0"/>
        <w:snapToGrid w:val="0"/>
        <w:spacing w:before="156" w:after="50" w:line="440" w:lineRule="exact"/>
        <w:ind w:firstLine="640" w:firstLineChars="200"/>
        <w:jc w:val="left"/>
        <w:textAlignment w:val="baseline"/>
        <w:rPr>
          <w:rFonts w:hint="eastAsia" w:ascii="宋体" w:hAnsi="宋体" w:cs="宋体"/>
          <w:b/>
          <w:bCs/>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必须适用于院内体外</w:t>
      </w:r>
      <w:bookmarkStart w:id="1" w:name="_GoBack"/>
      <w:bookmarkEnd w:id="1"/>
      <w:r>
        <w:rPr>
          <w:rFonts w:hint="eastAsia" w:ascii="仿宋_GB2312" w:hAnsi="仿宋_GB2312" w:eastAsia="仿宋_GB2312" w:cs="仿宋_GB2312"/>
          <w:sz w:val="32"/>
          <w:szCs w:val="32"/>
        </w:rPr>
        <w:t>膜肺氧合STM001设备</w:t>
      </w:r>
    </w:p>
    <w:sectPr>
      <w:pgSz w:w="11906" w:h="16838"/>
      <w:pgMar w:top="1474" w:right="1134" w:bottom="1247"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EDDC620-94FE-4E98-82C6-A04718F4002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50BF092-5FB7-4C58-9A16-A9C0012DE143}"/>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28B1328A-2488-4C62-914F-B5A04DFB0A02}"/>
  </w:font>
  <w:font w:name="Helvetica">
    <w:altName w:val="Arial"/>
    <w:panose1 w:val="00000000000000000000"/>
    <w:charset w:val="00"/>
    <w:family w:val="auto"/>
    <w:pitch w:val="default"/>
    <w:sig w:usb0="00000000" w:usb1="00000000" w:usb2="00000000" w:usb3="00000000" w:csb0="0000019F" w:csb1="00000000"/>
  </w:font>
  <w:font w:name="方正小标宋简体">
    <w:panose1 w:val="03000509000000000000"/>
    <w:charset w:val="86"/>
    <w:family w:val="script"/>
    <w:pitch w:val="default"/>
    <w:sig w:usb0="00000001" w:usb1="080E0000" w:usb2="00000000" w:usb3="00000000" w:csb0="00040000" w:csb1="00000000"/>
    <w:embedRegular r:id="rId4" w:fontKey="{2870A3A6-94AF-4F44-8F20-1841838642B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A57550"/>
    <w:rsid w:val="0000424D"/>
    <w:rsid w:val="000144EC"/>
    <w:rsid w:val="00034A81"/>
    <w:rsid w:val="0005572D"/>
    <w:rsid w:val="00067770"/>
    <w:rsid w:val="00073AF4"/>
    <w:rsid w:val="00075EE8"/>
    <w:rsid w:val="00097BB3"/>
    <w:rsid w:val="000B133F"/>
    <w:rsid w:val="000B4D64"/>
    <w:rsid w:val="000C19A6"/>
    <w:rsid w:val="000C2EA8"/>
    <w:rsid w:val="000F70F0"/>
    <w:rsid w:val="00104662"/>
    <w:rsid w:val="00104B50"/>
    <w:rsid w:val="001442DF"/>
    <w:rsid w:val="001524A8"/>
    <w:rsid w:val="00162DCA"/>
    <w:rsid w:val="00177829"/>
    <w:rsid w:val="00177FB6"/>
    <w:rsid w:val="00191157"/>
    <w:rsid w:val="001A2A95"/>
    <w:rsid w:val="001D518B"/>
    <w:rsid w:val="001E7263"/>
    <w:rsid w:val="001F2A65"/>
    <w:rsid w:val="001F5508"/>
    <w:rsid w:val="001F783E"/>
    <w:rsid w:val="00207B87"/>
    <w:rsid w:val="00264C27"/>
    <w:rsid w:val="00283A4D"/>
    <w:rsid w:val="002970E2"/>
    <w:rsid w:val="002A0515"/>
    <w:rsid w:val="002C5C72"/>
    <w:rsid w:val="002D14FA"/>
    <w:rsid w:val="002F3CC6"/>
    <w:rsid w:val="00304381"/>
    <w:rsid w:val="00304C5C"/>
    <w:rsid w:val="003111C2"/>
    <w:rsid w:val="00326DE6"/>
    <w:rsid w:val="00353EDB"/>
    <w:rsid w:val="00365201"/>
    <w:rsid w:val="003840D6"/>
    <w:rsid w:val="003968FF"/>
    <w:rsid w:val="003A51BA"/>
    <w:rsid w:val="003D63B1"/>
    <w:rsid w:val="003D7784"/>
    <w:rsid w:val="003E3C39"/>
    <w:rsid w:val="00400C1E"/>
    <w:rsid w:val="004256FF"/>
    <w:rsid w:val="0043277D"/>
    <w:rsid w:val="00435A54"/>
    <w:rsid w:val="00442042"/>
    <w:rsid w:val="00450F59"/>
    <w:rsid w:val="004A1BF3"/>
    <w:rsid w:val="004A2653"/>
    <w:rsid w:val="004A6F1A"/>
    <w:rsid w:val="004C11C0"/>
    <w:rsid w:val="004C165F"/>
    <w:rsid w:val="004C5E79"/>
    <w:rsid w:val="004C778F"/>
    <w:rsid w:val="004D6358"/>
    <w:rsid w:val="00522D93"/>
    <w:rsid w:val="005353C2"/>
    <w:rsid w:val="00551EFC"/>
    <w:rsid w:val="005522C1"/>
    <w:rsid w:val="00552BB4"/>
    <w:rsid w:val="00557A9F"/>
    <w:rsid w:val="005967C8"/>
    <w:rsid w:val="005B3B43"/>
    <w:rsid w:val="005C3F00"/>
    <w:rsid w:val="005F34A0"/>
    <w:rsid w:val="005F578A"/>
    <w:rsid w:val="005F5F14"/>
    <w:rsid w:val="006041AC"/>
    <w:rsid w:val="00693BD4"/>
    <w:rsid w:val="006A7B0D"/>
    <w:rsid w:val="006B44CC"/>
    <w:rsid w:val="006C22A9"/>
    <w:rsid w:val="006C3544"/>
    <w:rsid w:val="006E790A"/>
    <w:rsid w:val="006F04C0"/>
    <w:rsid w:val="00720678"/>
    <w:rsid w:val="00735ADB"/>
    <w:rsid w:val="007375AE"/>
    <w:rsid w:val="007408F0"/>
    <w:rsid w:val="00760300"/>
    <w:rsid w:val="0078705D"/>
    <w:rsid w:val="007B1A4D"/>
    <w:rsid w:val="007C5809"/>
    <w:rsid w:val="007D3F19"/>
    <w:rsid w:val="007F7C7B"/>
    <w:rsid w:val="00800AE9"/>
    <w:rsid w:val="00813726"/>
    <w:rsid w:val="00854F1F"/>
    <w:rsid w:val="008A3D81"/>
    <w:rsid w:val="008D066C"/>
    <w:rsid w:val="008E24E8"/>
    <w:rsid w:val="008E3483"/>
    <w:rsid w:val="008F0149"/>
    <w:rsid w:val="008F0E16"/>
    <w:rsid w:val="00901B4D"/>
    <w:rsid w:val="0094267C"/>
    <w:rsid w:val="00951DA8"/>
    <w:rsid w:val="00951FBA"/>
    <w:rsid w:val="00952542"/>
    <w:rsid w:val="00964EAE"/>
    <w:rsid w:val="0098083B"/>
    <w:rsid w:val="00991625"/>
    <w:rsid w:val="009B0420"/>
    <w:rsid w:val="009D048F"/>
    <w:rsid w:val="009D62BA"/>
    <w:rsid w:val="009F62D9"/>
    <w:rsid w:val="00A02C65"/>
    <w:rsid w:val="00A21E53"/>
    <w:rsid w:val="00A22D0F"/>
    <w:rsid w:val="00A237BD"/>
    <w:rsid w:val="00A30777"/>
    <w:rsid w:val="00A3555E"/>
    <w:rsid w:val="00A57550"/>
    <w:rsid w:val="00A63E54"/>
    <w:rsid w:val="00A80D35"/>
    <w:rsid w:val="00A85175"/>
    <w:rsid w:val="00A85AA4"/>
    <w:rsid w:val="00A8653B"/>
    <w:rsid w:val="00A95751"/>
    <w:rsid w:val="00AD052E"/>
    <w:rsid w:val="00AD3F82"/>
    <w:rsid w:val="00AD4A67"/>
    <w:rsid w:val="00AD618C"/>
    <w:rsid w:val="00AE1318"/>
    <w:rsid w:val="00AF19F9"/>
    <w:rsid w:val="00AF25DB"/>
    <w:rsid w:val="00AF674E"/>
    <w:rsid w:val="00B16112"/>
    <w:rsid w:val="00B467FB"/>
    <w:rsid w:val="00B54DC8"/>
    <w:rsid w:val="00B6481E"/>
    <w:rsid w:val="00B65762"/>
    <w:rsid w:val="00B815A0"/>
    <w:rsid w:val="00B8363E"/>
    <w:rsid w:val="00BC0CD2"/>
    <w:rsid w:val="00BC446B"/>
    <w:rsid w:val="00BE7FD2"/>
    <w:rsid w:val="00BF761D"/>
    <w:rsid w:val="00C05CA9"/>
    <w:rsid w:val="00C14BCF"/>
    <w:rsid w:val="00C27CEF"/>
    <w:rsid w:val="00C67DDA"/>
    <w:rsid w:val="00C85891"/>
    <w:rsid w:val="00C95061"/>
    <w:rsid w:val="00CA34C0"/>
    <w:rsid w:val="00CA6F24"/>
    <w:rsid w:val="00CA7B99"/>
    <w:rsid w:val="00CD2FD8"/>
    <w:rsid w:val="00CD30B5"/>
    <w:rsid w:val="00CE0724"/>
    <w:rsid w:val="00CE2F07"/>
    <w:rsid w:val="00CE612A"/>
    <w:rsid w:val="00D06BF6"/>
    <w:rsid w:val="00D12B69"/>
    <w:rsid w:val="00D15CFA"/>
    <w:rsid w:val="00D22886"/>
    <w:rsid w:val="00D43983"/>
    <w:rsid w:val="00D4711B"/>
    <w:rsid w:val="00D72702"/>
    <w:rsid w:val="00D73163"/>
    <w:rsid w:val="00D73455"/>
    <w:rsid w:val="00D85A92"/>
    <w:rsid w:val="00D87BC6"/>
    <w:rsid w:val="00DB1204"/>
    <w:rsid w:val="00DC1C8C"/>
    <w:rsid w:val="00DC4A68"/>
    <w:rsid w:val="00DC61E1"/>
    <w:rsid w:val="00DD555E"/>
    <w:rsid w:val="00DD5C27"/>
    <w:rsid w:val="00DE39CA"/>
    <w:rsid w:val="00DF09E8"/>
    <w:rsid w:val="00DF5B32"/>
    <w:rsid w:val="00DF786E"/>
    <w:rsid w:val="00E036F3"/>
    <w:rsid w:val="00E12898"/>
    <w:rsid w:val="00E20DFB"/>
    <w:rsid w:val="00E31B5A"/>
    <w:rsid w:val="00E3580D"/>
    <w:rsid w:val="00E4478F"/>
    <w:rsid w:val="00E45CDE"/>
    <w:rsid w:val="00E60534"/>
    <w:rsid w:val="00E63916"/>
    <w:rsid w:val="00E71E9E"/>
    <w:rsid w:val="00E95FE5"/>
    <w:rsid w:val="00EB7AEC"/>
    <w:rsid w:val="00EC02F6"/>
    <w:rsid w:val="00EC032B"/>
    <w:rsid w:val="00ED1922"/>
    <w:rsid w:val="00ED398A"/>
    <w:rsid w:val="00EE2CB6"/>
    <w:rsid w:val="00EF2B34"/>
    <w:rsid w:val="00F000F0"/>
    <w:rsid w:val="00F07E64"/>
    <w:rsid w:val="00F27FC8"/>
    <w:rsid w:val="00F570F5"/>
    <w:rsid w:val="00F725FA"/>
    <w:rsid w:val="00F809F6"/>
    <w:rsid w:val="00FB1952"/>
    <w:rsid w:val="00FB2D7A"/>
    <w:rsid w:val="00FD2FA6"/>
    <w:rsid w:val="00FE2D58"/>
    <w:rsid w:val="00FF5A5B"/>
    <w:rsid w:val="01F279B2"/>
    <w:rsid w:val="07135A57"/>
    <w:rsid w:val="149E3C13"/>
    <w:rsid w:val="1E5B42CC"/>
    <w:rsid w:val="31724E87"/>
    <w:rsid w:val="31AE73CB"/>
    <w:rsid w:val="33B156F5"/>
    <w:rsid w:val="34552A3E"/>
    <w:rsid w:val="351A243F"/>
    <w:rsid w:val="3CA4110B"/>
    <w:rsid w:val="40396D87"/>
    <w:rsid w:val="42862585"/>
    <w:rsid w:val="46524C1E"/>
    <w:rsid w:val="47AA7151"/>
    <w:rsid w:val="4A904E4D"/>
    <w:rsid w:val="4F2A3682"/>
    <w:rsid w:val="50D20D70"/>
    <w:rsid w:val="5C5D675C"/>
    <w:rsid w:val="5FC56FB5"/>
    <w:rsid w:val="60A54328"/>
    <w:rsid w:val="610F4E1E"/>
    <w:rsid w:val="61A97973"/>
    <w:rsid w:val="61E3588B"/>
    <w:rsid w:val="71BC0D00"/>
    <w:rsid w:val="7929119F"/>
    <w:rsid w:val="7AC94869"/>
    <w:rsid w:val="7B240209"/>
    <w:rsid w:val="7CD84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qFormat="1" w:unhideWhenUsed="0"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1"/>
    <w:pPr>
      <w:autoSpaceDE w:val="0"/>
      <w:autoSpaceDN w:val="0"/>
      <w:ind w:left="112"/>
      <w:jc w:val="left"/>
      <w:outlineLvl w:val="0"/>
    </w:pPr>
    <w:rPr>
      <w:rFonts w:cs="宋体"/>
      <w:b/>
      <w:bCs/>
      <w:kern w:val="0"/>
      <w:sz w:val="24"/>
      <w:szCs w:val="24"/>
      <w:lang w:val="zh-CN" w:bidi="zh-CN"/>
    </w:rPr>
  </w:style>
  <w:style w:type="paragraph" w:styleId="3">
    <w:name w:val="heading 2"/>
    <w:basedOn w:val="1"/>
    <w:next w:val="1"/>
    <w:qFormat/>
    <w:uiPriority w:val="99"/>
    <w:pPr>
      <w:keepNext/>
      <w:keepLines/>
      <w:spacing w:before="260" w:after="260" w:line="416" w:lineRule="auto"/>
      <w:outlineLvl w:val="1"/>
    </w:pPr>
    <w:rPr>
      <w:rFonts w:ascii="Cambria" w:hAnsi="Cambria"/>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99"/>
    <w:pPr>
      <w:ind w:firstLine="420"/>
    </w:pPr>
  </w:style>
  <w:style w:type="paragraph" w:styleId="5">
    <w:name w:val="Body Text 3"/>
    <w:basedOn w:val="1"/>
    <w:qFormat/>
    <w:uiPriority w:val="99"/>
    <w:pPr>
      <w:spacing w:after="120"/>
    </w:pPr>
    <w:rPr>
      <w:rFonts w:ascii="Times New Roman" w:hAnsi="Times New Roman" w:cs="Times New Roman"/>
      <w:sz w:val="16"/>
      <w:szCs w:val="16"/>
    </w:rPr>
  </w:style>
  <w:style w:type="paragraph" w:styleId="6">
    <w:name w:val="Body Text"/>
    <w:basedOn w:val="1"/>
    <w:next w:val="7"/>
    <w:qFormat/>
    <w:uiPriority w:val="1"/>
    <w:pPr>
      <w:autoSpaceDE w:val="0"/>
      <w:autoSpaceDN w:val="0"/>
      <w:ind w:left="112"/>
      <w:jc w:val="left"/>
    </w:pPr>
    <w:rPr>
      <w:rFonts w:cs="宋体"/>
      <w:kern w:val="0"/>
      <w:sz w:val="24"/>
      <w:szCs w:val="24"/>
      <w:lang w:val="zh-CN" w:bidi="zh-CN"/>
    </w:rPr>
  </w:style>
  <w:style w:type="paragraph" w:styleId="7">
    <w:name w:val="Plain Text"/>
    <w:basedOn w:val="1"/>
    <w:next w:val="1"/>
    <w:qFormat/>
    <w:uiPriority w:val="99"/>
    <w:rPr>
      <w:rFonts w:hAnsi="Courier New" w:cs="Times New Roman"/>
      <w:sz w:val="21"/>
      <w:szCs w:val="20"/>
    </w:rPr>
  </w:style>
  <w:style w:type="paragraph" w:styleId="8">
    <w:name w:val="Body Text Indent"/>
    <w:basedOn w:val="1"/>
    <w:qFormat/>
    <w:uiPriority w:val="0"/>
    <w:pPr>
      <w:ind w:firstLine="830" w:firstLineChars="352"/>
    </w:pPr>
    <w:rPr>
      <w:rFonts w:ascii="仿宋_GB2312" w:hAnsi="Times New Roman" w:eastAsia="仿宋_GB2312"/>
      <w:kern w:val="0"/>
      <w:sz w:val="32"/>
      <w:szCs w:val="20"/>
    </w:rPr>
  </w:style>
  <w:style w:type="paragraph" w:styleId="9">
    <w:name w:val="List 2"/>
    <w:basedOn w:val="1"/>
    <w:unhideWhenUsed/>
    <w:qFormat/>
    <w:uiPriority w:val="99"/>
    <w:pPr>
      <w:ind w:left="100" w:leftChars="200" w:hanging="200" w:hangingChars="200"/>
      <w:contextualSpacing/>
    </w:pPr>
  </w:style>
  <w:style w:type="paragraph" w:styleId="10">
    <w:name w:val="footer"/>
    <w:basedOn w:val="1"/>
    <w:link w:val="18"/>
    <w:semiHidden/>
    <w:unhideWhenUsed/>
    <w:qFormat/>
    <w:uiPriority w:val="99"/>
    <w:pPr>
      <w:tabs>
        <w:tab w:val="center" w:pos="4153"/>
        <w:tab w:val="right" w:pos="8306"/>
      </w:tabs>
      <w:snapToGrid w:val="0"/>
      <w:jc w:val="left"/>
    </w:pPr>
    <w:rPr>
      <w:sz w:val="18"/>
      <w:szCs w:val="18"/>
    </w:rPr>
  </w:style>
  <w:style w:type="paragraph" w:styleId="11">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Body Text First Indent 2"/>
    <w:basedOn w:val="8"/>
    <w:unhideWhenUsed/>
    <w:qFormat/>
    <w:uiPriority w:val="0"/>
    <w:pPr>
      <w:adjustRightInd w:val="0"/>
      <w:snapToGrid w:val="0"/>
      <w:spacing w:after="120" w:line="360" w:lineRule="auto"/>
      <w:ind w:left="420" w:leftChars="200" w:right="240" w:firstLine="420" w:firstLineChars="200"/>
      <w:jc w:val="left"/>
    </w:pPr>
    <w:rPr>
      <w:rFonts w:ascii="Times New Roman"/>
      <w:kern w:val="2"/>
      <w:sz w:val="24"/>
      <w:szCs w:val="24"/>
    </w:rPr>
  </w:style>
  <w:style w:type="character" w:styleId="16">
    <w:name w:val="Strong"/>
    <w:basedOn w:val="15"/>
    <w:qFormat/>
    <w:uiPriority w:val="22"/>
    <w:rPr>
      <w:b/>
    </w:rPr>
  </w:style>
  <w:style w:type="character" w:customStyle="1" w:styleId="17">
    <w:name w:val="页眉 Char"/>
    <w:basedOn w:val="15"/>
    <w:link w:val="11"/>
    <w:semiHidden/>
    <w:qFormat/>
    <w:uiPriority w:val="99"/>
    <w:rPr>
      <w:sz w:val="18"/>
      <w:szCs w:val="18"/>
    </w:rPr>
  </w:style>
  <w:style w:type="character" w:customStyle="1" w:styleId="18">
    <w:name w:val="页脚 Char"/>
    <w:basedOn w:val="15"/>
    <w:link w:val="10"/>
    <w:semiHidden/>
    <w:qFormat/>
    <w:uiPriority w:val="99"/>
    <w:rPr>
      <w:sz w:val="18"/>
      <w:szCs w:val="18"/>
    </w:rPr>
  </w:style>
  <w:style w:type="character" w:customStyle="1" w:styleId="19">
    <w:name w:val="标题 1 Char"/>
    <w:basedOn w:val="15"/>
    <w:link w:val="2"/>
    <w:qFormat/>
    <w:uiPriority w:val="1"/>
    <w:rPr>
      <w:rFonts w:cs="宋体"/>
      <w:b/>
      <w:bCs/>
      <w:kern w:val="0"/>
      <w:sz w:val="24"/>
      <w:szCs w:val="24"/>
      <w:lang w:val="zh-CN" w:bidi="zh-CN"/>
    </w:rPr>
  </w:style>
  <w:style w:type="paragraph" w:customStyle="1" w:styleId="20">
    <w:name w:val="表格文字"/>
    <w:basedOn w:val="1"/>
    <w:qFormat/>
    <w:uiPriority w:val="0"/>
    <w:pPr>
      <w:spacing w:line="0" w:lineRule="atLeast"/>
      <w:jc w:val="center"/>
    </w:pPr>
    <w:rPr>
      <w:rFonts w:ascii="Times New Roman" w:hAnsi="Times New Roman" w:cs="Times New Roman"/>
      <w:sz w:val="28"/>
      <w:szCs w:val="24"/>
    </w:rPr>
  </w:style>
  <w:style w:type="paragraph" w:styleId="21">
    <w:name w:val="List Paragraph"/>
    <w:basedOn w:val="1"/>
    <w:qFormat/>
    <w:uiPriority w:val="34"/>
    <w:pPr>
      <w:ind w:firstLine="420" w:firstLineChars="200"/>
    </w:pPr>
  </w:style>
  <w:style w:type="paragraph" w:customStyle="1" w:styleId="22">
    <w:name w:val="p1"/>
    <w:basedOn w:val="1"/>
    <w:qFormat/>
    <w:uiPriority w:val="0"/>
    <w:pPr>
      <w:widowControl/>
      <w:spacing w:after="0" w:line="240" w:lineRule="auto"/>
    </w:pPr>
    <w:rPr>
      <w:rFonts w:ascii="Helvetica" w:hAnsi="Helvetica" w:eastAsia="宋体" w:cs="宋体"/>
      <w:color w:val="231D1C"/>
      <w:kern w:val="0"/>
      <w:sz w:val="12"/>
      <w:szCs w:val="12"/>
      <w14:ligatures w14:val="none"/>
    </w:rPr>
  </w:style>
  <w:style w:type="character" w:customStyle="1" w:styleId="23">
    <w:name w:val="s1"/>
    <w:basedOn w:val="15"/>
    <w:qFormat/>
    <w:uiPriority w:val="0"/>
    <w:rPr>
      <w:rFonts w:hint="default" w:ascii="Helvetica" w:hAnsi="Helvetica"/>
      <w:color w:val="FEFEFE"/>
      <w:sz w:val="20"/>
      <w:szCs w:val="20"/>
    </w:rPr>
  </w:style>
  <w:style w:type="paragraph" w:customStyle="1" w:styleId="24">
    <w:name w:val="p2"/>
    <w:basedOn w:val="1"/>
    <w:qFormat/>
    <w:uiPriority w:val="0"/>
    <w:pPr>
      <w:widowControl/>
      <w:spacing w:after="0" w:line="240" w:lineRule="auto"/>
    </w:pPr>
    <w:rPr>
      <w:rFonts w:ascii="Helvetica" w:hAnsi="Helvetica" w:eastAsia="宋体" w:cs="宋体"/>
      <w:color w:val="DB7731"/>
      <w:kern w:val="0"/>
      <w:sz w:val="14"/>
      <w:szCs w:val="14"/>
      <w14:ligatures w14:val="none"/>
    </w:rPr>
  </w:style>
  <w:style w:type="paragraph" w:customStyle="1" w:styleId="25">
    <w:name w:val="Default"/>
    <w:qFormat/>
    <w:uiPriority w:val="0"/>
    <w:pPr>
      <w:widowControl w:val="0"/>
      <w:autoSpaceDE w:val="0"/>
      <w:autoSpaceDN w:val="0"/>
      <w:adjustRightInd w:val="0"/>
    </w:pPr>
    <w:rPr>
      <w:rFonts w:ascii="宋体" w:eastAsia="宋体" w:cs="宋体" w:hAnsiTheme="minorHAnsi"/>
      <w:color w:val="000000"/>
      <w:kern w:val="0"/>
      <w:sz w:val="24"/>
      <w:szCs w:val="24"/>
      <w:lang w:val="en-US" w:eastAsia="zh-CN" w:bidi="ar-SA"/>
    </w:rPr>
  </w:style>
  <w:style w:type="paragraph" w:customStyle="1" w:styleId="26">
    <w:name w:val="样式 首行缩进:  2 字符"/>
    <w:basedOn w:val="1"/>
    <w:qFormat/>
    <w:uiPriority w:val="0"/>
    <w:pPr>
      <w:widowControl/>
      <w:adjustRightInd w:val="0"/>
      <w:snapToGrid w:val="0"/>
      <w:spacing w:after="200" w:line="240" w:lineRule="auto"/>
      <w:ind w:firstLine="560"/>
      <w:jc w:val="left"/>
    </w:pPr>
    <w:rPr>
      <w:rFonts w:ascii="Calibri" w:hAnsi="Calibri" w:eastAsia="仿宋_GB2312" w:cs="宋体"/>
      <w:kern w:val="0"/>
      <w:sz w:val="24"/>
      <w:szCs w:val="20"/>
    </w:rPr>
  </w:style>
  <w:style w:type="character" w:customStyle="1" w:styleId="27">
    <w:name w:val="NormalCharacter"/>
    <w:uiPriority w:val="0"/>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875</Words>
  <Characters>1049</Characters>
  <Lines>6</Lines>
  <Paragraphs>1</Paragraphs>
  <TotalTime>197</TotalTime>
  <ScaleCrop>false</ScaleCrop>
  <LinksUpToDate>false</LinksUpToDate>
  <CharactersWithSpaces>1074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2020-07-09T09:25:00Z</dcterms:created>
  <dc:creator>john</dc:creator>
  <cp:lastModifiedBy>-L.mc</cp:lastModifiedBy>
  <cp:lastPrinted>2026-07-14T10:36:00Z</cp:lastPrinted>
  <dcterms:modified xsi:type="dcterms:W3CDTF">2026-08-31T09:54:23Z</dcterms:modified>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eyJoZGlkIjoiY2QzMGU5Mjk4NThlODdmNTFjZmViNjlmMzBlOGU2ZTUiLCJ1c2VySWQiOiIzNTcxNTkxMTcifQ==</vt:lpwstr>
  </property>
  <property fmtid="{D5CDD505-2E9C-101B-9397-08002B2CF9AE}" pid="3" name="KSOProductBuildVer">
    <vt:lpwstr>2052-12.1.0.28043</vt:lpwstr>
  </property>
  <property fmtid="{D5CDD505-2E9C-101B-9397-08002B2CF9AE}" pid="4" name="ICV">
    <vt:lpwstr>2BF75CDE903C41F5AC20F4B6FC02793C_12</vt:lpwstr>
  </property>
</Properties>
</file>